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22D3797E" w:rsidR="003F5FA0" w:rsidRPr="00DD6387" w:rsidRDefault="00C71BA9" w:rsidP="00DD6387">
      <w:pPr>
        <w:spacing w:before="240" w:line="360" w:lineRule="auto"/>
        <w:jc w:val="right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>Informacja prasowa</w:t>
      </w:r>
    </w:p>
    <w:p w14:paraId="1CF8936D" w14:textId="7FA9CD87" w:rsidR="007179FC" w:rsidRPr="007179FC" w:rsidRDefault="007179FC" w:rsidP="007179FC">
      <w:pPr>
        <w:spacing w:before="240"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header"/>
      <w:bookmarkEnd w:id="0"/>
      <w:r>
        <w:rPr>
          <w:rFonts w:ascii="Calibri" w:hAnsi="Calibri" w:cs="Calibri"/>
          <w:b/>
          <w:bCs/>
          <w:sz w:val="22"/>
          <w:szCs w:val="22"/>
        </w:rPr>
        <w:t>Branża budowlana w</w:t>
      </w:r>
      <w:r w:rsidRPr="007179FC">
        <w:rPr>
          <w:rFonts w:ascii="Calibri" w:hAnsi="Calibri" w:cs="Calibri"/>
          <w:b/>
          <w:bCs/>
          <w:sz w:val="22"/>
          <w:szCs w:val="22"/>
        </w:rPr>
        <w:t xml:space="preserve"> 2026: rewolucja w prawie i technologii. Jak inwestować, by nie stracić?</w:t>
      </w:r>
    </w:p>
    <w:p w14:paraId="073C8FB2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179FC">
        <w:rPr>
          <w:rFonts w:ascii="Calibri" w:hAnsi="Calibri" w:cs="Calibri"/>
          <w:b/>
          <w:bCs/>
          <w:sz w:val="22"/>
          <w:szCs w:val="22"/>
        </w:rPr>
        <w:t>Rok 2026 to punkt zwrotny dla branży budowlanej. Inwestorzy stają w obliczu swoistego paradoksu: z jednej strony prawo liberalizuje procesy administracyjne, z drugiej – drastycznie zaostrza wymogi techniczne. Nowy sezon budowlany upłynie pod znakiem walki o efektywność energetyczną, cyfryzację oraz adaptację do unijnych dyrektyw, które redefiniują pojęcie „nowoczesnego domu”. Jak w gąszczu zmian prawnych i technologicznych podejmować decyzje, które zabezpieczą wartość nieruchomości na dekady?</w:t>
      </w:r>
    </w:p>
    <w:p w14:paraId="39616400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179FC">
        <w:rPr>
          <w:rFonts w:ascii="Calibri" w:hAnsi="Calibri" w:cs="Calibri"/>
          <w:b/>
          <w:bCs/>
          <w:sz w:val="22"/>
          <w:szCs w:val="22"/>
        </w:rPr>
        <w:t>Prawne „marchewka i kij”, czyli krajobraz regulacyjny 2026</w:t>
      </w:r>
    </w:p>
    <w:p w14:paraId="684620A6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>Legislator przygotował dla inwestorów pakiet zmian, który można podzielić na ułatwienia formalne i zaostrzenia techniczne. Od 7 stycznia 2026 r. obowiązuje znowelizowane Prawo budowlane, którego celem jest deregulacja. Rozszerzono katalog obiektów niewymagających pozwolenia na budowę – na uproszczonych zasadach (samo zgłoszenie) zrealizujemy teraz większe tarasy, przydomowe oczka wodne czy, co kluczowe w dobie transformacji energetycznej, magazyny energii do 30 kWh.</w:t>
      </w:r>
    </w:p>
    <w:p w14:paraId="655F7989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>To jednak tylko jedna strona medalu. Równolegle toczą się prace nad nowelizacją Warunków Technicznych (WT), których wejście w życie planowane jest na wrzesień 2026 r. Tu kończy się dowolność, a zaczyna precyzja: nowe przepisy kładą nacisk na rygorystyczne limity izolacyjności cieplnej, akustykę oraz ślad węglowy materiałów.</w:t>
      </w:r>
    </w:p>
    <w:p w14:paraId="1AC678EE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179FC">
        <w:rPr>
          <w:rFonts w:ascii="Calibri" w:hAnsi="Calibri" w:cs="Calibri"/>
          <w:b/>
          <w:bCs/>
          <w:sz w:val="22"/>
          <w:szCs w:val="22"/>
        </w:rPr>
        <w:t>Stolarka okienna na pierwszej linii frontu</w:t>
      </w:r>
    </w:p>
    <w:p w14:paraId="4B19F51D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 xml:space="preserve">Największym wyzwaniem w kontekście nowych WT i unijnej dyrektywy EPBD (zakładającej </w:t>
      </w:r>
      <w:proofErr w:type="spellStart"/>
      <w:r w:rsidRPr="007179FC">
        <w:rPr>
          <w:rFonts w:ascii="Calibri" w:hAnsi="Calibri" w:cs="Calibri"/>
          <w:sz w:val="22"/>
          <w:szCs w:val="22"/>
        </w:rPr>
        <w:t>zeroemisyjność</w:t>
      </w:r>
      <w:proofErr w:type="spellEnd"/>
      <w:r w:rsidRPr="007179FC">
        <w:rPr>
          <w:rFonts w:ascii="Calibri" w:hAnsi="Calibri" w:cs="Calibri"/>
          <w:sz w:val="22"/>
          <w:szCs w:val="22"/>
        </w:rPr>
        <w:t xml:space="preserve"> nowych budynków od 2030 r.) jest ochrona budynku przed utratą ciepła. W tym obszarze stolarka otworowa staje się elementem krytycznym. Choć obecnie maksymalny dopuszczalny współczynnik przenikania ciepła (</w:t>
      </w:r>
      <w:proofErr w:type="spellStart"/>
      <w:r w:rsidRPr="007179FC">
        <w:rPr>
          <w:rFonts w:ascii="Calibri" w:hAnsi="Calibri" w:cs="Calibri"/>
          <w:sz w:val="22"/>
          <w:szCs w:val="22"/>
        </w:rPr>
        <w:t>Uw</w:t>
      </w:r>
      <w:proofErr w:type="spellEnd"/>
      <w:r w:rsidRPr="007179FC">
        <w:rPr>
          <w:rFonts w:ascii="Calibri" w:hAnsi="Calibri" w:cs="Calibri"/>
          <w:sz w:val="22"/>
          <w:szCs w:val="22"/>
        </w:rPr>
        <w:t>) dla okien fasadowych wynosi 0,9 W/(m²K), rynek antycypuje zmiany.</w:t>
      </w:r>
    </w:p>
    <w:p w14:paraId="3DDD2B48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>Inwestowanie w „minimum ustawowe” staje się ryzykowne biznesowo. Budynek spełniający normy „na styk” w 2026 roku, za kilka lat może okazać się obiektem przestarzałym, trudnym do zbycia i drogim w utrzymaniu.</w:t>
      </w:r>
    </w:p>
    <w:p w14:paraId="68D24983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 xml:space="preserve"> – Obserwujemy wyraźny trend: prawo wyznacza dziś raczej dolną granicę, poniżej której inwestycja po prostu traci sens. Choć przepisy dopuszczają okna o współczynniku </w:t>
      </w:r>
      <w:proofErr w:type="spellStart"/>
      <w:r w:rsidRPr="007179FC">
        <w:rPr>
          <w:rFonts w:ascii="Calibri" w:hAnsi="Calibri" w:cs="Calibri"/>
          <w:sz w:val="22"/>
          <w:szCs w:val="22"/>
        </w:rPr>
        <w:t>Uw</w:t>
      </w:r>
      <w:proofErr w:type="spellEnd"/>
      <w:r w:rsidRPr="007179FC">
        <w:rPr>
          <w:rFonts w:ascii="Calibri" w:hAnsi="Calibri" w:cs="Calibri"/>
          <w:sz w:val="22"/>
          <w:szCs w:val="22"/>
        </w:rPr>
        <w:t xml:space="preserve"> na poziomie 0,9 W/(m²K), </w:t>
      </w:r>
      <w:r w:rsidRPr="007179FC">
        <w:rPr>
          <w:rFonts w:ascii="Calibri" w:hAnsi="Calibri" w:cs="Calibri"/>
          <w:sz w:val="22"/>
          <w:szCs w:val="22"/>
        </w:rPr>
        <w:lastRenderedPageBreak/>
        <w:t xml:space="preserve">dla świadomego inwestora to wartość historyczna. Przyszłe aktualizacje Warunków Technicznych nieuchronnie zmierzają w stronę 0,8 W/(m²K) i niżej. Dlatego w naszych strategiach produktowych już teraz celujemy w parametry rzędu 0,7 W/(m²K). Taki 'zapas technologiczny' to dla klienta polisa ubezpieczeniowa – chroni wartość jego nieruchomości przed regulacyjną inflacją, która nastąpi w kolejnych latach. – prognozuje ekspert OKNOPLAST. </w:t>
      </w:r>
    </w:p>
    <w:p w14:paraId="665B170E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179FC">
        <w:rPr>
          <w:rFonts w:ascii="Calibri" w:hAnsi="Calibri" w:cs="Calibri"/>
          <w:b/>
          <w:bCs/>
          <w:sz w:val="22"/>
          <w:szCs w:val="22"/>
        </w:rPr>
        <w:t>Technologia sprzyjająca energooszczędności</w:t>
      </w:r>
    </w:p>
    <w:p w14:paraId="4F906693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>Aby osiągnąć parametry, o których wspominają eksperci, konieczne jest odejście od standardowych rozwiązań na rzecz zaawansowanej inżynierii materiałowej. Sercem energooszczędnego okna jest pakiet szybowy. Standardem rynkowym stają się pakiety trzyszybowe, w których przestrzenie międzyszybowe wypełnione są gazem szlachetnym – najczęściej argonem, a w wersjach pasywnych kryptonem.</w:t>
      </w:r>
    </w:p>
    <w:p w14:paraId="71BC0438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 xml:space="preserve">Kluczowa jest jednak synergia wszystkich elementów. Nawet najlepsze szkło o współczynniku </w:t>
      </w:r>
      <w:proofErr w:type="spellStart"/>
      <w:r w:rsidRPr="007179FC">
        <w:rPr>
          <w:rFonts w:ascii="Calibri" w:hAnsi="Calibri" w:cs="Calibri"/>
          <w:sz w:val="22"/>
          <w:szCs w:val="22"/>
        </w:rPr>
        <w:t>Ug</w:t>
      </w:r>
      <w:proofErr w:type="spellEnd"/>
      <w:r w:rsidRPr="007179FC">
        <w:rPr>
          <w:rFonts w:ascii="Calibri" w:hAnsi="Calibri" w:cs="Calibri"/>
          <w:sz w:val="22"/>
          <w:szCs w:val="22"/>
        </w:rPr>
        <w:t xml:space="preserve"> = 0,5 W/(m²K) nie spełni swojej roli, jeśli zostanie osadzone w zimnej ramie lub wyposażone w aluminiową ramkę dystansową, która działa jak mostek termiczny. Ekspert OKNOPLAST wyjaśnia techniczne niuanse tego procesu:</w:t>
      </w:r>
    </w:p>
    <w:p w14:paraId="54FACAFC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>– W nowoczesnych oknach kluczowa jest synergia. Nie wystarczy sama szyba – liczy się to, co ją łączy. Zastąpienie aluminiowych ramek dystansowych nowoczesnymi tworzywami sztucznymi było '</w:t>
      </w:r>
      <w:proofErr w:type="spellStart"/>
      <w:r w:rsidRPr="007179FC">
        <w:rPr>
          <w:rFonts w:ascii="Calibri" w:hAnsi="Calibri" w:cs="Calibri"/>
          <w:sz w:val="22"/>
          <w:szCs w:val="22"/>
        </w:rPr>
        <w:t>game</w:t>
      </w:r>
      <w:proofErr w:type="spellEnd"/>
      <w:r w:rsidRPr="007179F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179FC">
        <w:rPr>
          <w:rFonts w:ascii="Calibri" w:hAnsi="Calibri" w:cs="Calibri"/>
          <w:sz w:val="22"/>
          <w:szCs w:val="22"/>
        </w:rPr>
        <w:t>changerem</w:t>
      </w:r>
      <w:proofErr w:type="spellEnd"/>
      <w:r w:rsidRPr="007179FC">
        <w:rPr>
          <w:rFonts w:ascii="Calibri" w:hAnsi="Calibri" w:cs="Calibri"/>
          <w:sz w:val="22"/>
          <w:szCs w:val="22"/>
        </w:rPr>
        <w:t>' dla izolacji. Dzięki takim detalom seryjne okna osiągają dziś standard pasywny, co realnie przekłada się na niższe koszty eksploatacji budynku przez kolejne dekady.</w:t>
      </w:r>
    </w:p>
    <w:p w14:paraId="3449FBF1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>Warto pamiętać, że parametry laboratoryjne muszą zostać przeniesione na plac budowy poprzez tzw. ciepły montaż (warstwowy). Tylko szczelne połączenie okna z murem gwarantuje, że deklarowane właściwości zostaną zachowane w rzeczywistych warunkach eksploatacji.</w:t>
      </w:r>
    </w:p>
    <w:p w14:paraId="15531097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179FC">
        <w:rPr>
          <w:rFonts w:ascii="Calibri" w:hAnsi="Calibri" w:cs="Calibri"/>
          <w:b/>
          <w:bCs/>
          <w:sz w:val="22"/>
          <w:szCs w:val="22"/>
        </w:rPr>
        <w:t>Budownictwo jutra</w:t>
      </w:r>
    </w:p>
    <w:p w14:paraId="2EB021A3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 xml:space="preserve">Rok 2026 to także zmiana paradygmatu wznoszenia budynków. Na znaczeniu zyskują prefabrykacja i modułowość. Presja czasu i kosztów pracy sprawiają, że rynek zwraca się ku elementom gotowym. Szacuje się, że wartość europejskiego rynku prefabrykacji wzrośnie z 61 mld USD w 2025 r. do 80 mld USD w 2030 </w:t>
      </w:r>
      <w:proofErr w:type="gramStart"/>
      <w:r w:rsidRPr="007179FC">
        <w:rPr>
          <w:rFonts w:ascii="Calibri" w:hAnsi="Calibri" w:cs="Calibri"/>
          <w:sz w:val="22"/>
          <w:szCs w:val="22"/>
        </w:rPr>
        <w:t>r .</w:t>
      </w:r>
      <w:proofErr w:type="gramEnd"/>
      <w:r w:rsidRPr="007179FC">
        <w:rPr>
          <w:rFonts w:ascii="Calibri" w:hAnsi="Calibri" w:cs="Calibri"/>
          <w:sz w:val="22"/>
          <w:szCs w:val="22"/>
        </w:rPr>
        <w:t xml:space="preserve"> Poza tym budynek przestaje być bierną bryłą. Dzięki </w:t>
      </w:r>
      <w:proofErr w:type="spellStart"/>
      <w:r w:rsidRPr="007179FC">
        <w:rPr>
          <w:rFonts w:ascii="Calibri" w:hAnsi="Calibri" w:cs="Calibri"/>
          <w:sz w:val="22"/>
          <w:szCs w:val="22"/>
        </w:rPr>
        <w:t>IoT</w:t>
      </w:r>
      <w:proofErr w:type="spellEnd"/>
      <w:r w:rsidRPr="007179FC">
        <w:rPr>
          <w:rFonts w:ascii="Calibri" w:hAnsi="Calibri" w:cs="Calibri"/>
          <w:sz w:val="22"/>
          <w:szCs w:val="22"/>
        </w:rPr>
        <w:t xml:space="preserve"> (Internet of </w:t>
      </w:r>
      <w:proofErr w:type="spellStart"/>
      <w:r w:rsidRPr="007179FC">
        <w:rPr>
          <w:rFonts w:ascii="Calibri" w:hAnsi="Calibri" w:cs="Calibri"/>
          <w:sz w:val="22"/>
          <w:szCs w:val="22"/>
        </w:rPr>
        <w:t>Things</w:t>
      </w:r>
      <w:proofErr w:type="spellEnd"/>
      <w:r w:rsidRPr="007179FC">
        <w:rPr>
          <w:rFonts w:ascii="Calibri" w:hAnsi="Calibri" w:cs="Calibri"/>
          <w:sz w:val="22"/>
          <w:szCs w:val="22"/>
        </w:rPr>
        <w:t>) i sztucznej inteligencji, domy w 2026 roku stają się systemami reagującymi w czasie rzeczywistym – sterują ogrzewaniem, roletami i wentylacją, optymalizując zużycie energii.</w:t>
      </w:r>
    </w:p>
    <w:p w14:paraId="4B77F08C" w14:textId="5D4DEE9B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lastRenderedPageBreak/>
        <w:t xml:space="preserve">W tym kontekście coraz wyraźniej wybrzmiewa filozofia New </w:t>
      </w:r>
      <w:proofErr w:type="spellStart"/>
      <w:r w:rsidRPr="007179FC">
        <w:rPr>
          <w:rFonts w:ascii="Calibri" w:hAnsi="Calibri" w:cs="Calibri"/>
          <w:sz w:val="22"/>
          <w:szCs w:val="22"/>
        </w:rPr>
        <w:t>European</w:t>
      </w:r>
      <w:proofErr w:type="spellEnd"/>
      <w:r w:rsidRPr="007179FC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7179FC">
        <w:rPr>
          <w:rFonts w:ascii="Calibri" w:hAnsi="Calibri" w:cs="Calibri"/>
          <w:sz w:val="22"/>
          <w:szCs w:val="22"/>
        </w:rPr>
        <w:t>Bauhaus</w:t>
      </w:r>
      <w:proofErr w:type="spellEnd"/>
      <w:r w:rsidRPr="007179FC">
        <w:rPr>
          <w:rFonts w:ascii="Calibri" w:hAnsi="Calibri" w:cs="Calibri"/>
          <w:sz w:val="22"/>
          <w:szCs w:val="22"/>
        </w:rPr>
        <w:t xml:space="preserve"> – unijna inicjatywa łącząca cele klimatyczne z architekturą, designem i odpowiedzialnością społeczną. Jej założeniem jest tworzenie przestrzeni, które są jednocześnie zrównoważone środowiskowo, estetyczne i dostępne dla użytkowników. Budownictwo jutra ma być więc nie tylko energooszczędne, lecz także </w:t>
      </w:r>
      <w:proofErr w:type="spellStart"/>
      <w:r w:rsidRPr="007179FC">
        <w:rPr>
          <w:rFonts w:ascii="Calibri" w:hAnsi="Calibri" w:cs="Calibri"/>
          <w:sz w:val="22"/>
          <w:szCs w:val="22"/>
        </w:rPr>
        <w:t>inkluzywne</w:t>
      </w:r>
      <w:proofErr w:type="spellEnd"/>
      <w:r w:rsidRPr="007179FC">
        <w:rPr>
          <w:rFonts w:ascii="Calibri" w:hAnsi="Calibri" w:cs="Calibri"/>
          <w:sz w:val="22"/>
          <w:szCs w:val="22"/>
        </w:rPr>
        <w:t xml:space="preserve"> – projektowane z myślą o realnych potrzebach mieszkańców, ich komforcie, zdrowiu i codziennych nawykach.</w:t>
      </w:r>
    </w:p>
    <w:p w14:paraId="535411F6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>To właśnie dlatego stolarka okienna przestaje być traktowana wyłącznie jako element przegrody zewnętrznej. W nowym paradygmacie staje się aktywnym interfejsem budynku – zarządzającym dostępem światła dziennego, ciepła i relacją wnętrza z otoczeniem. Duże przeszklenia nie są już wyłącznie zabiegiem estetycznym, lecz narzędziem poprawy dobrostanu: wspierają naturalny rytm dobowy i ograniczają potrzebę sztucznego oświetlenia.</w:t>
      </w:r>
    </w:p>
    <w:p w14:paraId="5B41E1CF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179FC">
        <w:rPr>
          <w:rFonts w:ascii="Calibri" w:hAnsi="Calibri" w:cs="Calibri"/>
          <w:b/>
          <w:bCs/>
          <w:sz w:val="22"/>
          <w:szCs w:val="22"/>
        </w:rPr>
        <w:t>Długofalowa strategia zamiast chwilowej oszczędności</w:t>
      </w:r>
    </w:p>
    <w:p w14:paraId="09809B11" w14:textId="77777777" w:rsidR="007179FC" w:rsidRPr="007179FC" w:rsidRDefault="007179FC" w:rsidP="007179FC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7179FC">
        <w:rPr>
          <w:rFonts w:ascii="Calibri" w:hAnsi="Calibri" w:cs="Calibri"/>
          <w:sz w:val="22"/>
          <w:szCs w:val="22"/>
        </w:rPr>
        <w:t>Inwestycje budowlane w 2026 roku wymagają spojrzenia wykraczającego poza bieżący budżet. Wybór stolarki o parametrach lepszych niż wymagane minimum, postawienie na pakiety trzyszybowe, to nie fanaberia, lecz kalkulacja ekonomiczna. Wyższe nakłady początkowe szybko zwracają się w niższych kosztach operacyjnych a także budują aktywo odporne na przyszłe, nieuchronne zaostrzenia polityki klimatycznej UE.</w:t>
      </w:r>
    </w:p>
    <w:p w14:paraId="234AB342" w14:textId="77777777" w:rsidR="007179FC" w:rsidRDefault="007179FC" w:rsidP="00DD6387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2516E2D" w14:textId="2B0CC0BC" w:rsidR="00B31943" w:rsidRPr="00DD6387" w:rsidRDefault="00B31943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>--------------------------------------------------------------------------------------------------------------------------</w:t>
      </w:r>
    </w:p>
    <w:p w14:paraId="58FC741C" w14:textId="77777777" w:rsidR="00B31943" w:rsidRPr="00DD6387" w:rsidRDefault="00B31943" w:rsidP="00DD6387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D6387">
        <w:rPr>
          <w:rFonts w:ascii="Calibri" w:hAnsi="Calibri" w:cs="Calibri"/>
          <w:b/>
          <w:bCs/>
          <w:sz w:val="22"/>
          <w:szCs w:val="22"/>
        </w:rPr>
        <w:t>Kontakt dla mediów</w:t>
      </w:r>
    </w:p>
    <w:p w14:paraId="626F1106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 xml:space="preserve">Patrycja Ogrodnik </w:t>
      </w:r>
    </w:p>
    <w:p w14:paraId="59ED02BF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>PR Manager</w:t>
      </w:r>
    </w:p>
    <w:p w14:paraId="748F44FB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hyperlink r:id="rId8" w:history="1">
        <w:r w:rsidRPr="00DD6387">
          <w:rPr>
            <w:rStyle w:val="Hipercze"/>
            <w:rFonts w:ascii="Calibri" w:hAnsi="Calibri" w:cs="Calibri"/>
            <w:color w:val="auto"/>
            <w:sz w:val="22"/>
            <w:szCs w:val="22"/>
          </w:rPr>
          <w:t>p.ogrodnik@commplace.com.pl</w:t>
        </w:r>
      </w:hyperlink>
    </w:p>
    <w:p w14:paraId="37564B18" w14:textId="7B75ABA8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  <w:r w:rsidRPr="00DD6387">
        <w:rPr>
          <w:rFonts w:ascii="Calibri" w:hAnsi="Calibri" w:cs="Calibri"/>
          <w:sz w:val="22"/>
          <w:szCs w:val="22"/>
        </w:rPr>
        <w:t>tel. 692 333 175</w:t>
      </w:r>
    </w:p>
    <w:p w14:paraId="5B2BFE37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4FE774" w14:textId="77777777" w:rsidR="00907CDC" w:rsidRPr="00DD6387" w:rsidRDefault="00907CDC" w:rsidP="00DD6387">
      <w:pPr>
        <w:spacing w:before="24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907CDC" w:rsidRPr="00DD6387" w14:paraId="74453079" w14:textId="77777777" w:rsidTr="00914D9C">
        <w:trPr>
          <w:trHeight w:val="1191"/>
        </w:trPr>
        <w:tc>
          <w:tcPr>
            <w:tcW w:w="14359" w:type="dxa"/>
            <w:hideMark/>
          </w:tcPr>
          <w:p w14:paraId="0BE5DAD8" w14:textId="77777777" w:rsidR="00914D9C" w:rsidRPr="00DD6387" w:rsidRDefault="00914D9C" w:rsidP="00DD6387">
            <w:pPr>
              <w:pStyle w:val="xmsonormal"/>
              <w:spacing w:before="240" w:beforeAutospacing="0" w:after="240" w:afterAutospacing="0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DD6387">
              <w:rPr>
                <w:rFonts w:ascii="Helvetica Neue" w:hAnsi="Helvetica Neue"/>
                <w:b/>
                <w:bCs/>
                <w:sz w:val="20"/>
                <w:szCs w:val="20"/>
              </w:rPr>
              <w:lastRenderedPageBreak/>
              <w:t>Zuzanna Dyba</w:t>
            </w:r>
          </w:p>
          <w:p w14:paraId="0C0940CD" w14:textId="77777777" w:rsidR="00914D9C" w:rsidRPr="00DD6387" w:rsidRDefault="00914D9C" w:rsidP="00DD6387">
            <w:pPr>
              <w:pStyle w:val="xmsonormal"/>
              <w:spacing w:before="240" w:beforeAutospacing="0" w:after="240" w:afterAutospacing="0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DD6387">
              <w:rPr>
                <w:rFonts w:ascii="Helvetica Neue" w:hAnsi="Helvetica Neue"/>
                <w:sz w:val="20"/>
                <w:szCs w:val="20"/>
              </w:rPr>
              <w:t>Specjalista ds.PR</w:t>
            </w:r>
          </w:p>
          <w:p w14:paraId="5A07B204" w14:textId="77777777" w:rsidR="00914D9C" w:rsidRPr="00DD6387" w:rsidRDefault="00914D9C" w:rsidP="00DD6387">
            <w:pPr>
              <w:pStyle w:val="xmsonormal"/>
              <w:spacing w:before="240" w:beforeAutospacing="0" w:after="240" w:afterAutospacing="0"/>
              <w:jc w:val="both"/>
              <w:rPr>
                <w:rFonts w:ascii="Helvetica Neue" w:hAnsi="Helvetica Neue"/>
                <w:sz w:val="20"/>
                <w:szCs w:val="20"/>
              </w:rPr>
            </w:pPr>
            <w:r w:rsidRPr="00DD6387">
              <w:rPr>
                <w:rFonts w:ascii="Helvetica Neue" w:hAnsi="Helvetica Neue"/>
                <w:sz w:val="20"/>
                <w:szCs w:val="20"/>
              </w:rPr>
              <w:t>+48 666 870 580</w:t>
            </w:r>
          </w:p>
        </w:tc>
      </w:tr>
      <w:tr w:rsidR="00914D9C" w:rsidRPr="00DD6387" w14:paraId="3F17CFC5" w14:textId="77777777" w:rsidTr="00914D9C">
        <w:trPr>
          <w:trHeight w:val="854"/>
        </w:trPr>
        <w:tc>
          <w:tcPr>
            <w:tcW w:w="14359" w:type="dxa"/>
            <w:hideMark/>
          </w:tcPr>
          <w:p w14:paraId="1D6176D0" w14:textId="77777777" w:rsidR="00914D9C" w:rsidRPr="00DD6387" w:rsidRDefault="00914D9C" w:rsidP="00DD6387">
            <w:pPr>
              <w:pStyle w:val="xmsonormal"/>
              <w:spacing w:before="240" w:beforeAutospacing="0" w:after="240" w:afterAutospacing="0"/>
              <w:jc w:val="both"/>
              <w:rPr>
                <w:rFonts w:ascii="Helvetica Neue" w:hAnsi="Helvetica Neue"/>
                <w:sz w:val="20"/>
                <w:szCs w:val="20"/>
              </w:rPr>
            </w:pPr>
            <w:hyperlink r:id="rId9" w:tgtFrame="_blank" w:history="1">
              <w:r w:rsidRPr="00DD6387">
                <w:rPr>
                  <w:rStyle w:val="Hipercze"/>
                  <w:rFonts w:ascii="Helvetica Neue" w:hAnsi="Helvetica Neue"/>
                  <w:color w:val="auto"/>
                  <w:sz w:val="20"/>
                  <w:szCs w:val="20"/>
                </w:rPr>
                <w:t>Z.Dyba@oknoplast.com.pl</w:t>
              </w:r>
            </w:hyperlink>
          </w:p>
        </w:tc>
      </w:tr>
    </w:tbl>
    <w:p w14:paraId="4358FC01" w14:textId="77777777" w:rsidR="00914D9C" w:rsidRPr="00DD6387" w:rsidRDefault="00914D9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p w14:paraId="6B9AEDBE" w14:textId="77777777" w:rsidR="00914D9C" w:rsidRPr="00DD6387" w:rsidRDefault="00914D9C" w:rsidP="00DD6387">
      <w:pPr>
        <w:spacing w:before="240"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914D9C" w:rsidRPr="00DD6387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6FDED" w14:textId="77777777" w:rsidR="00F8207C" w:rsidRDefault="00F8207C">
      <w:r>
        <w:separator/>
      </w:r>
    </w:p>
  </w:endnote>
  <w:endnote w:type="continuationSeparator" w:id="0">
    <w:p w14:paraId="29D04FDC" w14:textId="77777777" w:rsidR="00F8207C" w:rsidRDefault="00F8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6A57F" w14:textId="77777777" w:rsidR="00F8207C" w:rsidRDefault="00F8207C">
      <w:r>
        <w:separator/>
      </w:r>
    </w:p>
  </w:footnote>
  <w:footnote w:type="continuationSeparator" w:id="0">
    <w:p w14:paraId="19F6704C" w14:textId="77777777" w:rsidR="00F8207C" w:rsidRDefault="00F82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36CA4C4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B34D2"/>
    <w:multiLevelType w:val="hybridMultilevel"/>
    <w:tmpl w:val="1E6A2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366ED"/>
    <w:multiLevelType w:val="hybridMultilevel"/>
    <w:tmpl w:val="9BE2C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52ED3"/>
    <w:multiLevelType w:val="hybridMultilevel"/>
    <w:tmpl w:val="22185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B01F3"/>
    <w:multiLevelType w:val="hybridMultilevel"/>
    <w:tmpl w:val="FE686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24CA0"/>
    <w:multiLevelType w:val="hybridMultilevel"/>
    <w:tmpl w:val="C4A6C064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70267"/>
    <w:multiLevelType w:val="hybridMultilevel"/>
    <w:tmpl w:val="BAE09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03765"/>
    <w:multiLevelType w:val="hybridMultilevel"/>
    <w:tmpl w:val="C4160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B4542"/>
    <w:multiLevelType w:val="hybridMultilevel"/>
    <w:tmpl w:val="785E3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07D3C"/>
    <w:multiLevelType w:val="hybridMultilevel"/>
    <w:tmpl w:val="9A02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142DF"/>
    <w:multiLevelType w:val="hybridMultilevel"/>
    <w:tmpl w:val="34FC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4F19F5"/>
    <w:multiLevelType w:val="hybridMultilevel"/>
    <w:tmpl w:val="03C4C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6"/>
  </w:num>
  <w:num w:numId="2" w16cid:durableId="1013998031">
    <w:abstractNumId w:val="13"/>
  </w:num>
  <w:num w:numId="3" w16cid:durableId="1093742402">
    <w:abstractNumId w:val="4"/>
  </w:num>
  <w:num w:numId="4" w16cid:durableId="755131662">
    <w:abstractNumId w:val="1"/>
  </w:num>
  <w:num w:numId="5" w16cid:durableId="1419788756">
    <w:abstractNumId w:val="5"/>
  </w:num>
  <w:num w:numId="6" w16cid:durableId="932893">
    <w:abstractNumId w:val="8"/>
  </w:num>
  <w:num w:numId="7" w16cid:durableId="183524104">
    <w:abstractNumId w:val="0"/>
  </w:num>
  <w:num w:numId="8" w16cid:durableId="1966504423">
    <w:abstractNumId w:val="11"/>
  </w:num>
  <w:num w:numId="9" w16cid:durableId="849950472">
    <w:abstractNumId w:val="12"/>
  </w:num>
  <w:num w:numId="10" w16cid:durableId="1549685444">
    <w:abstractNumId w:val="10"/>
  </w:num>
  <w:num w:numId="11" w16cid:durableId="1049690849">
    <w:abstractNumId w:val="2"/>
  </w:num>
  <w:num w:numId="12" w16cid:durableId="976683271">
    <w:abstractNumId w:val="3"/>
  </w:num>
  <w:num w:numId="13" w16cid:durableId="1590307587">
    <w:abstractNumId w:val="7"/>
  </w:num>
  <w:num w:numId="14" w16cid:durableId="10405969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1F31"/>
    <w:rsid w:val="0000748A"/>
    <w:rsid w:val="000158FB"/>
    <w:rsid w:val="000227ED"/>
    <w:rsid w:val="00022B44"/>
    <w:rsid w:val="00053D72"/>
    <w:rsid w:val="00056E57"/>
    <w:rsid w:val="00057D08"/>
    <w:rsid w:val="000700D7"/>
    <w:rsid w:val="0007166F"/>
    <w:rsid w:val="00077089"/>
    <w:rsid w:val="000917FE"/>
    <w:rsid w:val="000A72E0"/>
    <w:rsid w:val="000A7EFA"/>
    <w:rsid w:val="000B0E86"/>
    <w:rsid w:val="000B4D81"/>
    <w:rsid w:val="000C0401"/>
    <w:rsid w:val="000E1AD0"/>
    <w:rsid w:val="000E46F7"/>
    <w:rsid w:val="000E7AEB"/>
    <w:rsid w:val="00116976"/>
    <w:rsid w:val="0014397C"/>
    <w:rsid w:val="0014500C"/>
    <w:rsid w:val="00145E08"/>
    <w:rsid w:val="00147C9A"/>
    <w:rsid w:val="001550A6"/>
    <w:rsid w:val="00166AAF"/>
    <w:rsid w:val="00172021"/>
    <w:rsid w:val="00186D73"/>
    <w:rsid w:val="001A58CD"/>
    <w:rsid w:val="001A7E06"/>
    <w:rsid w:val="001B0F64"/>
    <w:rsid w:val="001D0A18"/>
    <w:rsid w:val="001E4C73"/>
    <w:rsid w:val="001F3900"/>
    <w:rsid w:val="00211018"/>
    <w:rsid w:val="00221A74"/>
    <w:rsid w:val="00223B9B"/>
    <w:rsid w:val="002256B5"/>
    <w:rsid w:val="0023191A"/>
    <w:rsid w:val="00245B0D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142"/>
    <w:rsid w:val="002D4775"/>
    <w:rsid w:val="002D6419"/>
    <w:rsid w:val="002E0533"/>
    <w:rsid w:val="002E275A"/>
    <w:rsid w:val="00327FF4"/>
    <w:rsid w:val="003367A4"/>
    <w:rsid w:val="003441F1"/>
    <w:rsid w:val="00347B83"/>
    <w:rsid w:val="00347CB9"/>
    <w:rsid w:val="00350FC5"/>
    <w:rsid w:val="00357083"/>
    <w:rsid w:val="00360C3A"/>
    <w:rsid w:val="00361447"/>
    <w:rsid w:val="00365A12"/>
    <w:rsid w:val="00384F8F"/>
    <w:rsid w:val="00393ABB"/>
    <w:rsid w:val="0039549E"/>
    <w:rsid w:val="003A3792"/>
    <w:rsid w:val="003B7B81"/>
    <w:rsid w:val="003E688F"/>
    <w:rsid w:val="003F5FA0"/>
    <w:rsid w:val="003F6B4B"/>
    <w:rsid w:val="00402D9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875DA"/>
    <w:rsid w:val="00496A4A"/>
    <w:rsid w:val="004A1607"/>
    <w:rsid w:val="004A1D43"/>
    <w:rsid w:val="004B157B"/>
    <w:rsid w:val="004B5367"/>
    <w:rsid w:val="004C4F64"/>
    <w:rsid w:val="004D419D"/>
    <w:rsid w:val="004D6BB1"/>
    <w:rsid w:val="004D7353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52929"/>
    <w:rsid w:val="00560D4E"/>
    <w:rsid w:val="00573D08"/>
    <w:rsid w:val="00583796"/>
    <w:rsid w:val="00590003"/>
    <w:rsid w:val="00597EF9"/>
    <w:rsid w:val="005B5297"/>
    <w:rsid w:val="005C0860"/>
    <w:rsid w:val="005C27F5"/>
    <w:rsid w:val="005F1B78"/>
    <w:rsid w:val="006112C2"/>
    <w:rsid w:val="00617F10"/>
    <w:rsid w:val="00627DE7"/>
    <w:rsid w:val="006328DD"/>
    <w:rsid w:val="00635420"/>
    <w:rsid w:val="0064180B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06F7A"/>
    <w:rsid w:val="007179FC"/>
    <w:rsid w:val="00720F84"/>
    <w:rsid w:val="007236D3"/>
    <w:rsid w:val="0072409F"/>
    <w:rsid w:val="00730A89"/>
    <w:rsid w:val="00731697"/>
    <w:rsid w:val="00742A3D"/>
    <w:rsid w:val="00743AC2"/>
    <w:rsid w:val="007440E7"/>
    <w:rsid w:val="007448AB"/>
    <w:rsid w:val="00747038"/>
    <w:rsid w:val="00753E33"/>
    <w:rsid w:val="007637F1"/>
    <w:rsid w:val="00767703"/>
    <w:rsid w:val="00772A79"/>
    <w:rsid w:val="00784A5D"/>
    <w:rsid w:val="007857AD"/>
    <w:rsid w:val="00787032"/>
    <w:rsid w:val="00787C64"/>
    <w:rsid w:val="007A030E"/>
    <w:rsid w:val="007A037B"/>
    <w:rsid w:val="007A3E6D"/>
    <w:rsid w:val="007D0E15"/>
    <w:rsid w:val="007D40BD"/>
    <w:rsid w:val="007E1DF5"/>
    <w:rsid w:val="007E79C5"/>
    <w:rsid w:val="00801916"/>
    <w:rsid w:val="00807BC9"/>
    <w:rsid w:val="008160E6"/>
    <w:rsid w:val="00847D68"/>
    <w:rsid w:val="00853600"/>
    <w:rsid w:val="00853623"/>
    <w:rsid w:val="00870D8D"/>
    <w:rsid w:val="00874642"/>
    <w:rsid w:val="00882B3F"/>
    <w:rsid w:val="00885B1D"/>
    <w:rsid w:val="0089074B"/>
    <w:rsid w:val="008A5762"/>
    <w:rsid w:val="008B3E3E"/>
    <w:rsid w:val="008B5287"/>
    <w:rsid w:val="008B718B"/>
    <w:rsid w:val="008C2E13"/>
    <w:rsid w:val="008C610D"/>
    <w:rsid w:val="008C7694"/>
    <w:rsid w:val="008D286C"/>
    <w:rsid w:val="008D3184"/>
    <w:rsid w:val="008F57D1"/>
    <w:rsid w:val="009028C1"/>
    <w:rsid w:val="00907CDC"/>
    <w:rsid w:val="00914C55"/>
    <w:rsid w:val="00914D9C"/>
    <w:rsid w:val="00921978"/>
    <w:rsid w:val="00924D1F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B4B4A"/>
    <w:rsid w:val="009B6C05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4677A"/>
    <w:rsid w:val="00A53AA4"/>
    <w:rsid w:val="00A6795C"/>
    <w:rsid w:val="00A71E71"/>
    <w:rsid w:val="00A845FC"/>
    <w:rsid w:val="00A913BC"/>
    <w:rsid w:val="00A96397"/>
    <w:rsid w:val="00AA0E23"/>
    <w:rsid w:val="00AA2D10"/>
    <w:rsid w:val="00AD1A86"/>
    <w:rsid w:val="00AD59EF"/>
    <w:rsid w:val="00AF1260"/>
    <w:rsid w:val="00AF41D5"/>
    <w:rsid w:val="00B154D2"/>
    <w:rsid w:val="00B247AC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041"/>
    <w:rsid w:val="00BB0CB1"/>
    <w:rsid w:val="00BC35D6"/>
    <w:rsid w:val="00BD64A3"/>
    <w:rsid w:val="00BD7A12"/>
    <w:rsid w:val="00C032D2"/>
    <w:rsid w:val="00C04DF2"/>
    <w:rsid w:val="00C10032"/>
    <w:rsid w:val="00C13DFD"/>
    <w:rsid w:val="00C14A45"/>
    <w:rsid w:val="00C177F0"/>
    <w:rsid w:val="00C17A2B"/>
    <w:rsid w:val="00C22148"/>
    <w:rsid w:val="00C25A0B"/>
    <w:rsid w:val="00C308BF"/>
    <w:rsid w:val="00C66564"/>
    <w:rsid w:val="00C71BA9"/>
    <w:rsid w:val="00C81C5B"/>
    <w:rsid w:val="00CB62BD"/>
    <w:rsid w:val="00CD1F2F"/>
    <w:rsid w:val="00CD3675"/>
    <w:rsid w:val="00CE501B"/>
    <w:rsid w:val="00CF179E"/>
    <w:rsid w:val="00D03FE5"/>
    <w:rsid w:val="00D065F2"/>
    <w:rsid w:val="00D10CB8"/>
    <w:rsid w:val="00D1216C"/>
    <w:rsid w:val="00D168BE"/>
    <w:rsid w:val="00D23DFC"/>
    <w:rsid w:val="00D410E3"/>
    <w:rsid w:val="00D45F4A"/>
    <w:rsid w:val="00D465B1"/>
    <w:rsid w:val="00D46802"/>
    <w:rsid w:val="00D60C67"/>
    <w:rsid w:val="00D6284D"/>
    <w:rsid w:val="00D63602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D6387"/>
    <w:rsid w:val="00DD7E8B"/>
    <w:rsid w:val="00DF32C5"/>
    <w:rsid w:val="00DF7A2A"/>
    <w:rsid w:val="00E00F5B"/>
    <w:rsid w:val="00E06A6F"/>
    <w:rsid w:val="00E14061"/>
    <w:rsid w:val="00E20909"/>
    <w:rsid w:val="00E3123C"/>
    <w:rsid w:val="00E4279E"/>
    <w:rsid w:val="00E43089"/>
    <w:rsid w:val="00E45634"/>
    <w:rsid w:val="00E46E06"/>
    <w:rsid w:val="00E511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EF27CE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4A39"/>
    <w:rsid w:val="00F8207C"/>
    <w:rsid w:val="00F839BB"/>
    <w:rsid w:val="00F84552"/>
    <w:rsid w:val="00F873B4"/>
    <w:rsid w:val="00F90069"/>
    <w:rsid w:val="00FA69C2"/>
    <w:rsid w:val="00FC4A72"/>
    <w:rsid w:val="00FD0642"/>
    <w:rsid w:val="00FD1622"/>
    <w:rsid w:val="00FD293D"/>
    <w:rsid w:val="00FD2C83"/>
    <w:rsid w:val="00FE3FD4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60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C0860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  <w:style w:type="paragraph" w:styleId="Poprawka">
    <w:name w:val="Revision"/>
    <w:hidden/>
    <w:uiPriority w:val="99"/>
    <w:semiHidden/>
    <w:rsid w:val="00C1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ny"/>
    <w:rsid w:val="00914D9C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907CD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qFormat/>
    <w:rsid w:val="009B6C05"/>
    <w:pPr>
      <w:spacing w:before="180" w:after="180"/>
    </w:pPr>
    <w:rPr>
      <w:rFonts w:asciiTheme="minorHAnsi" w:eastAsiaTheme="minorHAnsi" w:hAnsiTheme="minorHAnsi" w:cstheme="minorBidi"/>
      <w:lang w:val="en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B6C05"/>
    <w:rPr>
      <w:rFonts w:asciiTheme="minorHAnsi" w:eastAsiaTheme="minorHAnsi" w:hAnsiTheme="minorHAnsi" w:cstheme="minorBidi"/>
      <w:sz w:val="24"/>
      <w:szCs w:val="24"/>
      <w:lang w:val="en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9B6C05"/>
  </w:style>
  <w:style w:type="paragraph" w:customStyle="1" w:styleId="Compact">
    <w:name w:val="Compact"/>
    <w:basedOn w:val="Tekstpodstawowy"/>
    <w:qFormat/>
    <w:rsid w:val="00E06A6F"/>
    <w:pPr>
      <w:spacing w:before="36" w:after="36"/>
    </w:pPr>
  </w:style>
  <w:style w:type="character" w:styleId="Pogrubienie">
    <w:name w:val="Strong"/>
    <w:basedOn w:val="Domylnaczcionkaakapitu"/>
    <w:uiPriority w:val="22"/>
    <w:qFormat/>
    <w:rsid w:val="00874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4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.Dyba@oknoplast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2026-02-13T08:58:00Z</dcterms:created>
  <dcterms:modified xsi:type="dcterms:W3CDTF">2026-02-13T08:58:00Z</dcterms:modified>
</cp:coreProperties>
</file>