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2413E1D1" w14:textId="77777777" w:rsidR="001C0E53" w:rsidRPr="001C0E53" w:rsidRDefault="001C0E53" w:rsidP="00FB610C">
      <w:pPr>
        <w:spacing w:line="360" w:lineRule="auto"/>
        <w:jc w:val="center"/>
        <w:rPr>
          <w:b/>
          <w:bCs/>
        </w:rPr>
      </w:pPr>
      <w:r w:rsidRPr="001C0E53">
        <w:rPr>
          <w:b/>
          <w:bCs/>
        </w:rPr>
        <w:t>Budżet szkoleniowy dla nauczycieli – inwestycja w przyszłość edukacji</w:t>
      </w:r>
    </w:p>
    <w:p w14:paraId="29CAC8D9" w14:textId="77777777" w:rsidR="001C0E53" w:rsidRPr="001C0E53" w:rsidRDefault="001C0E53" w:rsidP="001C0E53">
      <w:pPr>
        <w:spacing w:line="360" w:lineRule="auto"/>
        <w:jc w:val="both"/>
        <w:rPr>
          <w:b/>
          <w:bCs/>
        </w:rPr>
      </w:pPr>
      <w:r w:rsidRPr="001C0E53">
        <w:rPr>
          <w:b/>
          <w:bCs/>
        </w:rPr>
        <w:t>Rozwój edukacji zaczyna się od nauczycieli. Wspieranie ich kompetencji i kwalifikacji przekłada się nie tylko na jednostkowy sukces, ale i całego systemu oświaty. Zgodnie z art. 70a Karty Nauczyciela, organy prowadzące szkoły są zobowiązane do wyodrębnienia w swoich budżetach środków na dofinansowanie doskonalenia zawodowego nauczycieli. Kwota ta wynosi 0,8% planowanych rocznych środków przeznaczonych na wynagrodzenia osobowe nauczycieli. Czy to dużo? Odpowiednie zarządzanie tym budżetem, ale także innymi dostępnymi środkami, może przynieść zaskakująco dobre rezultaty.</w:t>
      </w:r>
    </w:p>
    <w:p w14:paraId="6387EFF7" w14:textId="77777777" w:rsidR="001C0E53" w:rsidRPr="001C0E53" w:rsidRDefault="001C0E53" w:rsidP="001C0E53">
      <w:pPr>
        <w:spacing w:line="360" w:lineRule="auto"/>
        <w:jc w:val="both"/>
        <w:rPr>
          <w:b/>
          <w:bCs/>
        </w:rPr>
      </w:pPr>
      <w:r w:rsidRPr="001C0E53">
        <w:rPr>
          <w:b/>
          <w:bCs/>
        </w:rPr>
        <w:t>Inwestycja z wysoką stopą zwrotu</w:t>
      </w:r>
    </w:p>
    <w:p w14:paraId="710DCD57" w14:textId="77777777" w:rsidR="001C0E53" w:rsidRPr="001C0E53" w:rsidRDefault="001C0E53" w:rsidP="001C0E53">
      <w:pPr>
        <w:spacing w:line="360" w:lineRule="auto"/>
        <w:jc w:val="both"/>
      </w:pPr>
      <w:r w:rsidRPr="001C0E53">
        <w:t xml:space="preserve">Nauczyciele są filarem każdej szkoły, a ich umiejętności bezpośrednio wpływają na jakość nauczania i rozwój uczniów. Dynamicznie zmieniające się potrzeby edukacyjne, coraz więcej uczniów </w:t>
      </w:r>
      <w:proofErr w:type="spellStart"/>
      <w:r w:rsidRPr="001C0E53">
        <w:t>neuroróżnorodnych</w:t>
      </w:r>
      <w:proofErr w:type="spellEnd"/>
      <w:r w:rsidRPr="001C0E53">
        <w:t xml:space="preserve"> oraz wymagania związane z nowymi technologiami sprawiają, że nauczyciele muszą stale podnosić swoje kwalifikacje. Dlatego Inwestycje w rozwój to nie tylko sposób na spełnienie formalnych wymagań, ale przede wszystkim odpowiedź na realne potrzeby edukacji. </w:t>
      </w:r>
    </w:p>
    <w:p w14:paraId="398B710D" w14:textId="77777777" w:rsidR="001C0E53" w:rsidRPr="001C0E53" w:rsidRDefault="001C0E53" w:rsidP="001C0E53">
      <w:pPr>
        <w:spacing w:line="360" w:lineRule="auto"/>
        <w:jc w:val="both"/>
      </w:pPr>
      <w:r w:rsidRPr="001C0E53">
        <w:t>Wielu nauczycieli postrzega budżet szkoleniowy jako możliwość poszerzenia swoich horyzontów i zdobycia nowych umiejętności. Przy odpowiednim wykorzystaniu tych środków można osiągnąć znaczące rezultaty, zarówno dla indywidualnych pedagogów, jak i całych zespołów nauczycielskich. Warto pamiętać, że inwestowanie w rozwój nauczycieli to jednocześnie inwestowanie w jakość edukacji, która przekłada się na lepsze wyniki uczniów i zadowolenie rodziców.</w:t>
      </w:r>
    </w:p>
    <w:p w14:paraId="357CCF86" w14:textId="77777777" w:rsidR="001C0E53" w:rsidRPr="001C0E53" w:rsidRDefault="001C0E53" w:rsidP="001C0E53">
      <w:pPr>
        <w:spacing w:line="360" w:lineRule="auto"/>
        <w:jc w:val="both"/>
      </w:pPr>
      <w:r w:rsidRPr="001C0E53">
        <w:t xml:space="preserve">– Nowoczesne technologie, praca z dziećmi o specjalnych potrzebach edukacyjnych (SPE) czy rozwijanie kompetencji interpersonalnych – to tylko niektóre z obszarów, w których nauczyciele mogą się rozwijać dzięki dostępowi do odpowiednich materiałów. – zauważa Joanna </w:t>
      </w:r>
      <w:proofErr w:type="spellStart"/>
      <w:r w:rsidRPr="001C0E53">
        <w:t>Elmanowska</w:t>
      </w:r>
      <w:proofErr w:type="spellEnd"/>
      <w:r w:rsidRPr="001C0E53">
        <w:t xml:space="preserve"> z wydawnictwa Nowa Era, w którym odpowiada za rozwój produktów multimedialnych przeznaczonych dla nauczycieli i specjalistów do pracy z dziećmi ze specjalnymi potrzebami edukacyjnymi.</w:t>
      </w:r>
    </w:p>
    <w:p w14:paraId="10320C51" w14:textId="77777777" w:rsidR="001C0E53" w:rsidRPr="001C0E53" w:rsidRDefault="001C0E53" w:rsidP="001C0E53">
      <w:pPr>
        <w:spacing w:line="360" w:lineRule="auto"/>
        <w:jc w:val="both"/>
        <w:rPr>
          <w:b/>
          <w:bCs/>
        </w:rPr>
      </w:pPr>
      <w:r w:rsidRPr="001C0E53">
        <w:rPr>
          <w:b/>
          <w:bCs/>
        </w:rPr>
        <w:t>Samokształcenie – fundament pracy nauczyciela</w:t>
      </w:r>
    </w:p>
    <w:p w14:paraId="6B0F4196" w14:textId="77777777" w:rsidR="001C0E53" w:rsidRPr="001C0E53" w:rsidRDefault="001C0E53" w:rsidP="001C0E53">
      <w:pPr>
        <w:spacing w:line="360" w:lineRule="auto"/>
        <w:jc w:val="both"/>
      </w:pPr>
      <w:r w:rsidRPr="001C0E53">
        <w:t xml:space="preserve">Pierwszym filarem doskonalenia zawodowego – obok Wewnątrzszkolnego Doskonalenia Nauczycieli (WDN) oraz doskonalenia pozaszkolnego w różnych instytucjach i placówkach – jest samokształcenie, które opiera się na indywidualnej inicjatywie nauczyciela. To proces, w którym pedagog samodzielnie poszukuje wiedzy i nowych umiejętności, korzystając z dostępnych źródeł, takich jak literatura fachowa, zasoby internetowe czy materiały dydaktyczne. </w:t>
      </w:r>
    </w:p>
    <w:p w14:paraId="4354003E" w14:textId="77777777" w:rsidR="001C0E53" w:rsidRPr="001C0E53" w:rsidRDefault="001C0E53" w:rsidP="001C0E53">
      <w:pPr>
        <w:spacing w:line="360" w:lineRule="auto"/>
        <w:jc w:val="both"/>
      </w:pPr>
      <w:r w:rsidRPr="001C0E53">
        <w:lastRenderedPageBreak/>
        <w:t xml:space="preserve">– W dobie cyfryzacji ogromnym wsparciem są platformy edukacyjne, takie jak </w:t>
      </w:r>
      <w:proofErr w:type="spellStart"/>
      <w:r w:rsidRPr="001C0E53">
        <w:t>EduSensus</w:t>
      </w:r>
      <w:proofErr w:type="spellEnd"/>
      <w:r w:rsidRPr="001C0E53">
        <w:t xml:space="preserve">. – podkreśla Joanna </w:t>
      </w:r>
      <w:proofErr w:type="spellStart"/>
      <w:r w:rsidRPr="001C0E53">
        <w:t>Elmanowska</w:t>
      </w:r>
      <w:proofErr w:type="spellEnd"/>
      <w:r w:rsidRPr="001C0E53">
        <w:t xml:space="preserve">. – W ramach platformy nauczyciele, oprócz ok 10 tys. zasobów i ćwiczeń do pracy z uczniami o specjalnych potrzebach edukacyjnych, mają do dyspozycji moduł „Moja strefa rozwoju”, a w nim dostęp do artykułów, </w:t>
      </w:r>
      <w:proofErr w:type="spellStart"/>
      <w:r w:rsidRPr="001C0E53">
        <w:t>webinarów</w:t>
      </w:r>
      <w:proofErr w:type="spellEnd"/>
      <w:r w:rsidRPr="001C0E53">
        <w:t xml:space="preserve"> oraz filmów metodycznych. Dzięki temu mogą stale rozwijać swoje umiejętności i poszerzać wiedzę, w każdym miejscu i czasie. Dostęp do platformy dla wszystkich nauczycieli i szkolnych specjalistów, placówka może zapewnić sobie korzystając z budżetu na szkolenia i kongresy. – konkluduje.</w:t>
      </w:r>
    </w:p>
    <w:p w14:paraId="089A21D2" w14:textId="77777777" w:rsidR="001C0E53" w:rsidRPr="001C0E53" w:rsidRDefault="001C0E53" w:rsidP="001C0E53">
      <w:pPr>
        <w:spacing w:line="360" w:lineRule="auto"/>
        <w:jc w:val="both"/>
      </w:pPr>
      <w:r w:rsidRPr="001C0E53">
        <w:t>Samokształcenie pozwala nauczycielowi dostosować tempo nauki do własnych potrzeb i możliwości. Jak pokazują badania, nauczyciele, którzy regularnie się dokształcają, lepiej radzą sobie z wyzwaniami współczesnej szkoły, takimi jak praca z uczniami o specjalnych potrzebach edukacyjnych czy wykorzystanie nowoczesnych technologii w nauczaniu.</w:t>
      </w:r>
    </w:p>
    <w:p w14:paraId="1C1019DB" w14:textId="77777777" w:rsidR="001C0E53" w:rsidRPr="001C0E53" w:rsidRDefault="001C0E53" w:rsidP="001C0E53">
      <w:pPr>
        <w:spacing w:line="360" w:lineRule="auto"/>
        <w:jc w:val="both"/>
        <w:rPr>
          <w:b/>
          <w:bCs/>
        </w:rPr>
      </w:pPr>
      <w:r w:rsidRPr="001C0E53">
        <w:rPr>
          <w:b/>
          <w:bCs/>
        </w:rPr>
        <w:t>Ekonomiczne podejście</w:t>
      </w:r>
    </w:p>
    <w:p w14:paraId="30BCB29D" w14:textId="77777777" w:rsidR="001C0E53" w:rsidRPr="001C0E53" w:rsidRDefault="001C0E53" w:rsidP="001C0E53">
      <w:pPr>
        <w:spacing w:line="360" w:lineRule="auto"/>
        <w:jc w:val="both"/>
      </w:pPr>
      <w:r w:rsidRPr="001C0E53">
        <w:t xml:space="preserve">Biorąc pod uwagę ograniczenia co do możliwości wydatkowania środków na doskonalenie zawodowe nauczycieli, które precyzyjnie określono w Art. 70a Karty Nauczyciela, placówki mogą skorzystać z rozwiązań, które pozwalają na maksymalne wykorzystanie innych dostępnych środków </w:t>
      </w:r>
    </w:p>
    <w:p w14:paraId="521CF286" w14:textId="77777777" w:rsidR="001C0E53" w:rsidRPr="001C0E53" w:rsidRDefault="001C0E53" w:rsidP="001C0E53">
      <w:pPr>
        <w:spacing w:line="360" w:lineRule="auto"/>
        <w:jc w:val="both"/>
      </w:pPr>
      <w:r w:rsidRPr="001C0E53">
        <w:t xml:space="preserve">Przykład? W przypadku wykorzystywania platformy </w:t>
      </w:r>
      <w:proofErr w:type="spellStart"/>
      <w:r w:rsidRPr="001C0E53">
        <w:t>EduSensus</w:t>
      </w:r>
      <w:proofErr w:type="spellEnd"/>
      <w:r w:rsidRPr="001C0E53">
        <w:t xml:space="preserve"> zarówno dla uczniów z orzeczeniami o potrzebie kształcenia specjalnego, jak i dla pozostałych uczniów, możliwe jest podzielenie wydatku pomiędzy dwa rozdziały budżetowe – 80101 (uczniowie bez orzeczeń w szkole podstawowej ogólnodostępnej) i 80150 (uczniowie z orzeczeniami). Przy zastosowaniu odpowiedniego klucza podziału, inwestycja pozwala na wsparcie całej społeczności szkolnej, niezależnie od potrzeb edukacyjnych uczniów. Dzięki platformie można zapewnić nauczycielom oraz uczniom narzędzia, które wspierają efektywną naukę i nowoczesne metody dydaktyczne. </w:t>
      </w:r>
    </w:p>
    <w:p w14:paraId="3A50E2BC" w14:textId="3D650849" w:rsidR="001C0E53" w:rsidRPr="001C0E53" w:rsidRDefault="001C0E53" w:rsidP="00FA4B8F">
      <w:pPr>
        <w:spacing w:line="360" w:lineRule="auto"/>
        <w:jc w:val="both"/>
      </w:pPr>
      <w:r w:rsidRPr="001C0E53">
        <w:t>Warto pamiętać, że inwestowanie w rozwój nauczycieli to nie tylko spełnienie obowiązków wynikających z przepisów, ale przede wszystkim sposób na poprawę jakości edukacji. Nauczyciel jest wówczas bardziej zmotywowany, lepiej radzi sobie z wyzwaniami w klasie i potrafi efektywniej przekazywać wiedzę. Co więcej, możliwość uczestnictwa w kursach i szkoleniach, a także dostęp do specjalistycznych materiałów cyfrowych, buduje prestiż zawodu nauczyciela, co może przyczynić się do zwiększenia zainteresowania pracą w oświacie wśród młodych ludzi. W kontekście problemów z deficytem kadry pedagogicznej w wielu regionach kraju, jest to inwestycja o dalekosiężnych skutkach.</w:t>
      </w:r>
    </w:p>
    <w:p w14:paraId="1267A47D" w14:textId="6274EA64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lastRenderedPageBreak/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C16AC" w14:textId="77777777" w:rsidR="00CC4DE8" w:rsidRDefault="00CC4DE8">
      <w:pPr>
        <w:spacing w:after="0" w:line="240" w:lineRule="auto"/>
      </w:pPr>
      <w:r>
        <w:separator/>
      </w:r>
    </w:p>
  </w:endnote>
  <w:endnote w:type="continuationSeparator" w:id="0">
    <w:p w14:paraId="20D8B258" w14:textId="77777777" w:rsidR="00CC4DE8" w:rsidRDefault="00CC4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8AD2" w14:textId="77777777" w:rsidR="00CC4DE8" w:rsidRDefault="00CC4DE8">
      <w:pPr>
        <w:spacing w:after="0" w:line="240" w:lineRule="auto"/>
      </w:pPr>
      <w:r>
        <w:separator/>
      </w:r>
    </w:p>
  </w:footnote>
  <w:footnote w:type="continuationSeparator" w:id="0">
    <w:p w14:paraId="64231A4C" w14:textId="77777777" w:rsidR="00CC4DE8" w:rsidRDefault="00CC4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5481"/>
    <w:rsid w:val="00116976"/>
    <w:rsid w:val="00142055"/>
    <w:rsid w:val="0014500C"/>
    <w:rsid w:val="00175710"/>
    <w:rsid w:val="001A58CD"/>
    <w:rsid w:val="001A7E06"/>
    <w:rsid w:val="001C0E53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62849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C4607"/>
    <w:rsid w:val="004D419D"/>
    <w:rsid w:val="004D6BB1"/>
    <w:rsid w:val="004E0F5A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2298"/>
    <w:rsid w:val="00A43156"/>
    <w:rsid w:val="00A53AA4"/>
    <w:rsid w:val="00A640F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4DE8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C296D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A4B8F"/>
    <w:rsid w:val="00FA69C2"/>
    <w:rsid w:val="00FB0097"/>
    <w:rsid w:val="00FB610C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2024-12-19T11:06:00Z</dcterms:created>
  <dcterms:modified xsi:type="dcterms:W3CDTF">2024-12-19T11:06:00Z</dcterms:modified>
</cp:coreProperties>
</file>