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C9BCD" w14:textId="2740AA6F" w:rsidR="00D811C7" w:rsidRPr="00482156" w:rsidRDefault="00D811C7" w:rsidP="00D811C7">
      <w:pPr>
        <w:rPr>
          <w:rFonts w:eastAsiaTheme="majorEastAsia" w:cstheme="minorHAnsi"/>
          <w:color w:val="2F5496" w:themeColor="accent1" w:themeShade="BF"/>
          <w:sz w:val="32"/>
          <w:szCs w:val="32"/>
        </w:rPr>
      </w:pPr>
      <w:r w:rsidRPr="00482156">
        <w:rPr>
          <w:rFonts w:eastAsiaTheme="majorEastAsia" w:cstheme="minorHAnsi"/>
          <w:color w:val="2F5496" w:themeColor="accent1" w:themeShade="BF"/>
          <w:sz w:val="32"/>
          <w:szCs w:val="32"/>
        </w:rPr>
        <w:t>Chcesz sprzedać firmę lub przyciągnąć inwestorów? Sprawdź, jak zwiększyć jej wartość w oczach rynku!</w:t>
      </w:r>
      <w:r w:rsidR="00917BA9" w:rsidRPr="00482156">
        <w:rPr>
          <w:rFonts w:eastAsiaTheme="majorEastAsia" w:cstheme="minorHAnsi"/>
          <w:color w:val="2F5496" w:themeColor="accent1" w:themeShade="BF"/>
          <w:sz w:val="32"/>
          <w:szCs w:val="32"/>
        </w:rPr>
        <w:t xml:space="preserve"> Bonus - </w:t>
      </w:r>
      <w:proofErr w:type="spellStart"/>
      <w:r w:rsidR="00917BA9" w:rsidRPr="00482156">
        <w:rPr>
          <w:rFonts w:eastAsiaTheme="majorEastAsia" w:cstheme="minorHAnsi"/>
          <w:color w:val="2F5496" w:themeColor="accent1" w:themeShade="BF"/>
          <w:sz w:val="32"/>
          <w:szCs w:val="32"/>
        </w:rPr>
        <w:t>checklista</w:t>
      </w:r>
      <w:proofErr w:type="spellEnd"/>
    </w:p>
    <w:p w14:paraId="1BF23CE9" w14:textId="3A7A0172"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Decyzja o sprzedaży firmy lub pozyskaniu inwestorów to jedno z najważniejszych wyzwań dla przedsiębiorcy. W obu przypadkach kluczowe jest nie tylko to, jaką wartość finansową firma reprezentuje, ale przede wszystkim, jak jest postrzegana na rynku. Inwestorzy szukają solidnych fundamentów, ale także potencjału wzrostu. Aby skutecznie przygotować się do takich działań, trzeba nauczyć się patrzeć oczami inwestora</w:t>
      </w:r>
      <w:r w:rsidR="00AF2160" w:rsidRPr="00482156">
        <w:rPr>
          <w:rFonts w:eastAsia="Times New Roman" w:cstheme="minorHAnsi"/>
          <w:lang w:eastAsia="en-GB"/>
        </w:rPr>
        <w:t xml:space="preserve"> i rozumieć jego motywację</w:t>
      </w:r>
      <w:r w:rsidRPr="00482156">
        <w:rPr>
          <w:rFonts w:eastAsia="Times New Roman" w:cstheme="minorHAnsi"/>
          <w:lang w:eastAsia="en-GB"/>
        </w:rPr>
        <w:t>. Co widzi ktoś, kto rozważa zainwestowanie w Twój biznes?</w:t>
      </w:r>
      <w:r w:rsidR="008E124A" w:rsidRPr="00482156">
        <w:rPr>
          <w:rFonts w:eastAsia="Times New Roman" w:cstheme="minorHAnsi"/>
          <w:lang w:eastAsia="en-GB"/>
        </w:rPr>
        <w:t xml:space="preserve"> </w:t>
      </w:r>
      <w:r w:rsidR="00AF2160" w:rsidRPr="00482156">
        <w:rPr>
          <w:rFonts w:eastAsia="Times New Roman" w:cstheme="minorHAnsi"/>
          <w:lang w:eastAsia="en-GB"/>
        </w:rPr>
        <w:t xml:space="preserve">Pomóż mu zobaczyć to, co stanowi dla niego wartość. </w:t>
      </w:r>
    </w:p>
    <w:p w14:paraId="0D2A6A80" w14:textId="5CB9FE01" w:rsidR="00D811C7" w:rsidRPr="00482156" w:rsidRDefault="00D811C7" w:rsidP="00D811C7">
      <w:pPr>
        <w:rPr>
          <w:rFonts w:cstheme="minorHAnsi"/>
        </w:rPr>
      </w:pPr>
      <w:r w:rsidRPr="00482156">
        <w:rPr>
          <w:rFonts w:cstheme="minorHAnsi"/>
        </w:rPr>
        <w:t xml:space="preserve">W procesie sprzedaży firmy lub przy poszukiwaniu inwestorów nie wystarczą jedynie liczby i twarde dane finansowe. Wartość </w:t>
      </w:r>
      <w:r w:rsidRPr="00482156">
        <w:rPr>
          <w:rFonts w:cstheme="minorHAnsi"/>
          <w:color w:val="000000" w:themeColor="text1"/>
        </w:rPr>
        <w:t xml:space="preserve">postrzegana i potencjał firmy to elementy, które </w:t>
      </w:r>
      <w:r w:rsidRPr="00482156">
        <w:rPr>
          <w:rFonts w:cstheme="minorHAnsi"/>
        </w:rPr>
        <w:t xml:space="preserve">często decydują o ostatecznym sukcesie transakcji. Dla inwestorów liczy się nie tylko kondycja firmy, ale też jej potencjał, kanały sprzedaży, marketing, wizerunek na rynku, klienci oraz reputacja w branży. Jak sprawić, aby wartość postrzegana firmy wzrosła? </w:t>
      </w:r>
      <w:r w:rsidR="00552705" w:rsidRPr="00482156">
        <w:rPr>
          <w:rFonts w:cstheme="minorHAnsi"/>
        </w:rPr>
        <w:t xml:space="preserve">Zastosuj poniższe wskazówki eksperta i rekomendacje oraz skorzystaj z </w:t>
      </w:r>
      <w:proofErr w:type="spellStart"/>
      <w:r w:rsidR="00552705" w:rsidRPr="00482156">
        <w:rPr>
          <w:rFonts w:cstheme="minorHAnsi"/>
        </w:rPr>
        <w:t>checklisty</w:t>
      </w:r>
      <w:proofErr w:type="spellEnd"/>
      <w:r w:rsidR="00552705" w:rsidRPr="00482156">
        <w:rPr>
          <w:rFonts w:cstheme="minorHAnsi"/>
        </w:rPr>
        <w:t>!</w:t>
      </w:r>
    </w:p>
    <w:p w14:paraId="31632D45" w14:textId="77777777" w:rsidR="006E4351" w:rsidRPr="00482156" w:rsidRDefault="006E4351" w:rsidP="006E4351">
      <w:pPr>
        <w:pStyle w:val="Nagwek2"/>
        <w:rPr>
          <w:rFonts w:asciiTheme="minorHAnsi" w:eastAsia="Times New Roman" w:hAnsiTheme="minorHAnsi" w:cstheme="minorHAnsi"/>
          <w:lang w:eastAsia="en-GB"/>
        </w:rPr>
      </w:pPr>
    </w:p>
    <w:p w14:paraId="371775BC" w14:textId="498FEC25" w:rsidR="003E4C15" w:rsidRPr="00482156" w:rsidRDefault="003E4C15" w:rsidP="006E4351">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t>Jak wyglądają kluczowe procesy w firmie?</w:t>
      </w:r>
    </w:p>
    <w:p w14:paraId="1A0C84E4" w14:textId="62092906"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W oczach inwestorów firma to nie tylko marka, ale przede wszystkim zestaw procesów, które muszą działać jak dobrze naoliwiona maszyna. Sprzedaż, marketing, obsługa klienta, produkty czy innowacje – wszystkie te elementy składają się na finalną ocenę wartości biznesu. Zaczynając od podstaw</w:t>
      </w:r>
      <w:r w:rsidR="00D811C7" w:rsidRPr="00482156">
        <w:rPr>
          <w:rFonts w:eastAsia="Times New Roman" w:cstheme="minorHAnsi"/>
          <w:lang w:eastAsia="en-GB"/>
        </w:rPr>
        <w:t>, inwestorzy zwracają uwagę na te aspekty.</w:t>
      </w:r>
    </w:p>
    <w:p w14:paraId="6D52DF44" w14:textId="77777777" w:rsidR="003E4C15" w:rsidRPr="00482156" w:rsidRDefault="003E4C15" w:rsidP="006E4351">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t>Sprzedaż i marketing – serce każdej firmy</w:t>
      </w:r>
    </w:p>
    <w:p w14:paraId="1F4C15A3" w14:textId="596A6823"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Czy kanały sprzedaży są efektywne? Czy firma skutecznie dociera do klientów? Inwestorzy analizują nie tylko aktualne przychody, ale także potencjał wzrostu w oparciu o strategie sprzedażowe i marketingowe.</w:t>
      </w:r>
      <w:r w:rsidR="00D811C7" w:rsidRPr="00482156">
        <w:rPr>
          <w:rFonts w:eastAsia="Times New Roman" w:cstheme="minorHAnsi"/>
          <w:lang w:eastAsia="en-GB"/>
        </w:rPr>
        <w:t xml:space="preserve"> – </w:t>
      </w:r>
      <w:r w:rsidRPr="00482156">
        <w:rPr>
          <w:rFonts w:eastAsia="Times New Roman" w:cstheme="minorHAnsi"/>
          <w:lang w:eastAsia="en-GB"/>
        </w:rPr>
        <w:t>Czy firma ma renomowanych klientów</w:t>
      </w:r>
      <w:r w:rsidR="003D5BA0" w:rsidRPr="00482156">
        <w:rPr>
          <w:rFonts w:eastAsia="Times New Roman" w:cstheme="minorHAnsi"/>
          <w:lang w:eastAsia="en-GB"/>
        </w:rPr>
        <w:t xml:space="preserve"> i ilu</w:t>
      </w:r>
      <w:r w:rsidRPr="00482156">
        <w:rPr>
          <w:rFonts w:eastAsia="Times New Roman" w:cstheme="minorHAnsi"/>
          <w:lang w:eastAsia="en-GB"/>
        </w:rPr>
        <w:t>? Jakie relacje buduje z nimi na rynku? Skuteczny marketing, zwłaszcza referencyjny i rekomendacyjny, staje się dziś jednym z najważniejszych atutów</w:t>
      </w:r>
      <w:r w:rsidR="006E4351" w:rsidRPr="00482156">
        <w:rPr>
          <w:rFonts w:eastAsia="Times New Roman" w:cstheme="minorHAnsi"/>
          <w:lang w:eastAsia="en-GB"/>
        </w:rPr>
        <w:t xml:space="preserve">, </w:t>
      </w:r>
      <w:r w:rsidR="006E4351" w:rsidRPr="00482156">
        <w:rPr>
          <w:rFonts w:cstheme="minorHAnsi"/>
        </w:rPr>
        <w:t xml:space="preserve">ponieważ to właśnie rekomendacje od zadowolonych klientów mają największy wpływ na pozyskiwanie nowych odbiorców. </w:t>
      </w:r>
      <w:r w:rsidR="00D811C7" w:rsidRPr="00482156">
        <w:rPr>
          <w:rFonts w:eastAsia="Times New Roman" w:cstheme="minorHAnsi"/>
          <w:lang w:eastAsia="en-GB"/>
        </w:rPr>
        <w:t xml:space="preserve"> – zauważa Sebastian Kopiej, prezes zarządu agencji </w:t>
      </w:r>
      <w:r w:rsidR="00552705" w:rsidRPr="00482156">
        <w:rPr>
          <w:rFonts w:eastAsia="Times New Roman" w:cstheme="minorHAnsi"/>
          <w:lang w:eastAsia="en-GB"/>
        </w:rPr>
        <w:t>public relations</w:t>
      </w:r>
      <w:r w:rsidR="00D811C7" w:rsidRPr="00482156">
        <w:rPr>
          <w:rFonts w:eastAsia="Times New Roman" w:cstheme="minorHAnsi"/>
          <w:lang w:eastAsia="en-GB"/>
        </w:rPr>
        <w:t xml:space="preserve"> Commplace. </w:t>
      </w:r>
    </w:p>
    <w:p w14:paraId="09111683" w14:textId="1316F7B7" w:rsidR="00552705" w:rsidRPr="00482156" w:rsidRDefault="00552705" w:rsidP="00AF2160">
      <w:pPr>
        <w:rPr>
          <w:rFonts w:eastAsia="Times New Roman" w:cstheme="minorHAnsi"/>
          <w:lang w:eastAsia="en-GB"/>
        </w:rPr>
      </w:pPr>
      <w:r w:rsidRPr="00482156">
        <w:rPr>
          <w:rFonts w:cstheme="minorHAnsi"/>
        </w:rPr>
        <w:t>Rekomendacje: </w:t>
      </w:r>
      <w:r w:rsidR="00AF2160" w:rsidRPr="00482156">
        <w:rPr>
          <w:rFonts w:cstheme="minorHAnsi"/>
        </w:rPr>
        <w:t xml:space="preserve">Aby uzyskać pełny obraz sytuacji, każdy obszar powinien być dokładnie </w:t>
      </w:r>
      <w:r w:rsidR="00AF2160" w:rsidRPr="00482156">
        <w:rPr>
          <w:rFonts w:cstheme="minorHAnsi"/>
        </w:rPr>
        <w:t>opomiarowany,</w:t>
      </w:r>
      <w:r w:rsidR="00AF2160" w:rsidRPr="00482156">
        <w:rPr>
          <w:rFonts w:cstheme="minorHAnsi"/>
        </w:rPr>
        <w:t xml:space="preserve"> obejmując analizę danych z ostatnich trzech lat oraz prognozy na kolejne 2–3 lata. Taka retrospektywna i prospektywna ocena umożliwia identyfikację trendów i wzorców, które mogą wpływać na przyszłe wyniki. Porównanie tych danych z wynikami konkurencji pozwala na ocenę pozycji firmy na rynku oraz identyfikację obszarów wymagających poprawy lub stanowiących przewagę konkurencyjną.</w:t>
      </w:r>
      <w:r w:rsidR="00AF2160" w:rsidRPr="00482156">
        <w:rPr>
          <w:rFonts w:cstheme="minorHAnsi"/>
        </w:rPr>
        <w:t xml:space="preserve"> </w:t>
      </w:r>
      <w:r w:rsidR="00697B5C" w:rsidRPr="00482156">
        <w:rPr>
          <w:rFonts w:cstheme="minorHAnsi"/>
        </w:rPr>
        <w:t>Wskaż duży potencjał rynku, produktów i usług.</w:t>
      </w:r>
      <w:r w:rsidR="00FF6249" w:rsidRPr="00482156">
        <w:rPr>
          <w:rFonts w:cstheme="minorHAnsi"/>
        </w:rPr>
        <w:t xml:space="preserve"> Pokaż odporno</w:t>
      </w:r>
      <w:r w:rsidR="00016187" w:rsidRPr="00482156">
        <w:rPr>
          <w:rFonts w:cstheme="minorHAnsi"/>
        </w:rPr>
        <w:t>ść na zawirowania rynkowe. Określ poziom cyfryzacji i automatyzacji procesów.</w:t>
      </w:r>
      <w:r w:rsidR="00E40D95" w:rsidRPr="00482156">
        <w:rPr>
          <w:rFonts w:cstheme="minorHAnsi"/>
        </w:rPr>
        <w:t xml:space="preserve"> </w:t>
      </w:r>
      <w:r w:rsidR="004B5FE9" w:rsidRPr="00482156">
        <w:rPr>
          <w:rFonts w:cstheme="minorHAnsi"/>
        </w:rPr>
        <w:t xml:space="preserve">Dopasuj </w:t>
      </w:r>
      <w:r w:rsidR="00D73D17" w:rsidRPr="00482156">
        <w:rPr>
          <w:rFonts w:cstheme="minorHAnsi"/>
        </w:rPr>
        <w:t xml:space="preserve">wskaźniki </w:t>
      </w:r>
      <w:r w:rsidR="003D5BA0" w:rsidRPr="00482156">
        <w:rPr>
          <w:rFonts w:cstheme="minorHAnsi"/>
        </w:rPr>
        <w:t xml:space="preserve">do kanałów sprzedaży i obszarów marketingu. </w:t>
      </w:r>
    </w:p>
    <w:p w14:paraId="44E6D147" w14:textId="77777777" w:rsidR="003E4C15" w:rsidRPr="00482156" w:rsidRDefault="003E4C15" w:rsidP="006E4351">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lastRenderedPageBreak/>
        <w:t>Obsługa i rotacja pracowników</w:t>
      </w:r>
    </w:p>
    <w:p w14:paraId="65F75A12" w14:textId="47E7E7FF"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Jednym z pytań, które zawsze pojawiają się przy rozmowach z inwestorami, jest: „Jak firma funkcjonowałaby bez obecnych właścicieli?”. Problemy z rotacją pracowników, brak klarownych procesów realizacji zamówień czy słaba obsługa klienta to sygnały alarmowe. Warto zadbać o to, aby firma mogła funkcjonować autonomicznie, co znacznie zwiększa jej wartość w oczach inwestora.</w:t>
      </w:r>
    </w:p>
    <w:p w14:paraId="26BBF1D0" w14:textId="67A806E0" w:rsidR="00552705" w:rsidRPr="00482156" w:rsidRDefault="00552705" w:rsidP="003E4C15">
      <w:pPr>
        <w:spacing w:before="100" w:beforeAutospacing="1" w:after="100" w:afterAutospacing="1"/>
        <w:rPr>
          <w:rFonts w:eastAsia="Times New Roman" w:cstheme="minorHAnsi"/>
          <w:lang w:eastAsia="en-GB"/>
        </w:rPr>
      </w:pPr>
      <w:r w:rsidRPr="00482156">
        <w:rPr>
          <w:rFonts w:cstheme="minorHAnsi"/>
        </w:rPr>
        <w:t xml:space="preserve">Rekomendacje: Zadbaj o wskaźniki niefinansowe, takie jak rotacja pracowników, poziom satysfakcji klientów (NPS), wskaźniki lojalności klientów oraz </w:t>
      </w:r>
      <w:proofErr w:type="spellStart"/>
      <w:r w:rsidRPr="00482156">
        <w:rPr>
          <w:rFonts w:cstheme="minorHAnsi"/>
        </w:rPr>
        <w:t>benchmarking</w:t>
      </w:r>
      <w:proofErr w:type="spellEnd"/>
      <w:r w:rsidRPr="00482156">
        <w:rPr>
          <w:rFonts w:cstheme="minorHAnsi"/>
        </w:rPr>
        <w:t xml:space="preserve"> marketingowy. Uwzględnij cyfryzację i automatyzację procesów, zwłaszcza tych narażonych na negatywne trendy rynkow</w:t>
      </w:r>
      <w:r w:rsidR="001C64EB" w:rsidRPr="00482156">
        <w:rPr>
          <w:rFonts w:cstheme="minorHAnsi"/>
        </w:rPr>
        <w:t>a</w:t>
      </w:r>
      <w:r w:rsidR="00BD1986" w:rsidRPr="00482156">
        <w:rPr>
          <w:rFonts w:cstheme="minorHAnsi"/>
        </w:rPr>
        <w:t xml:space="preserve"> i uzależnione od rotacji pracowników</w:t>
      </w:r>
      <w:r w:rsidRPr="00482156">
        <w:rPr>
          <w:rFonts w:cstheme="minorHAnsi"/>
        </w:rPr>
        <w:t>.</w:t>
      </w:r>
    </w:p>
    <w:p w14:paraId="5D47571A" w14:textId="77777777" w:rsidR="003E4C15" w:rsidRPr="00482156" w:rsidRDefault="003E4C15" w:rsidP="006E4351">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t>Produkty i usługi – unikalność jako karta przetargowa</w:t>
      </w:r>
    </w:p>
    <w:p w14:paraId="14E5763C" w14:textId="3D8E6022"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 xml:space="preserve">Czy oferowane produkty wyróżniają się na tle konkurencji? Inwestorzy szukają firm, które mają solidne podstawy, ale także potencjał rozwoju. Dywersyfikacja oferty, unikalność produktów </w:t>
      </w:r>
      <w:r w:rsidR="00A75819" w:rsidRPr="00482156">
        <w:rPr>
          <w:rFonts w:eastAsia="Times New Roman" w:cstheme="minorHAnsi"/>
          <w:lang w:eastAsia="en-GB"/>
        </w:rPr>
        <w:t xml:space="preserve">(zastrzeżone znaki towarowe, patenty) </w:t>
      </w:r>
      <w:r w:rsidRPr="00482156">
        <w:rPr>
          <w:rFonts w:eastAsia="Times New Roman" w:cstheme="minorHAnsi"/>
          <w:lang w:eastAsia="en-GB"/>
        </w:rPr>
        <w:t>oraz możliwość skalowania biznesu na nowe rynki to elementy, które mogą przesądzić o sukcesie.</w:t>
      </w:r>
    </w:p>
    <w:p w14:paraId="7B8A0F87" w14:textId="3ACAE3A5" w:rsidR="00552705" w:rsidRPr="00482156" w:rsidRDefault="00552705" w:rsidP="00552705">
      <w:pPr>
        <w:autoSpaceDE w:val="0"/>
        <w:autoSpaceDN w:val="0"/>
        <w:adjustRightInd w:val="0"/>
        <w:rPr>
          <w:rFonts w:cstheme="minorHAnsi"/>
        </w:rPr>
      </w:pPr>
      <w:r w:rsidRPr="00482156">
        <w:rPr>
          <w:rFonts w:cstheme="minorHAnsi"/>
        </w:rPr>
        <w:t>Rekomendacje: Podaj przykłady innowacji w produktach, w tym technologie wyróżniające firmę oraz wskaźniki innowacyjności, takie jak liczba wdrożeń R&amp;D czy nowe patenty.</w:t>
      </w:r>
      <w:r w:rsidRPr="00482156">
        <w:rPr>
          <w:rFonts w:cstheme="minorHAnsi"/>
        </w:rPr>
        <w:br/>
      </w:r>
    </w:p>
    <w:p w14:paraId="41F5A3F4" w14:textId="77777777" w:rsidR="003E4C15" w:rsidRPr="00482156" w:rsidRDefault="003E4C15" w:rsidP="00BC3B56">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t>Innowacje, dotacje i ekspansja</w:t>
      </w:r>
    </w:p>
    <w:p w14:paraId="079F9E69" w14:textId="148BFA87"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Potencjał wzrostu jest jednym z najważniejszych czynników przy ocenie wartości firmy. Inwestorzy zwracają uwagę na to, czy firma inwestuje w innowacje, czy korzysta z dotacji, a także, czy ma strategię ekspansji na nowe rynki. Warto również przygotować porównanie do konkurencji w tych obszarach – pokazanie przewagi może stać się kluczowym argumentem w negocjacjach.</w:t>
      </w:r>
    </w:p>
    <w:p w14:paraId="5916BF65" w14:textId="41C614F4" w:rsidR="00B85B51" w:rsidRPr="00482156" w:rsidRDefault="00B85B51" w:rsidP="003E4C15">
      <w:pPr>
        <w:spacing w:before="100" w:beforeAutospacing="1" w:after="100" w:afterAutospacing="1"/>
        <w:rPr>
          <w:rFonts w:cstheme="minorHAnsi"/>
        </w:rPr>
      </w:pPr>
      <w:r w:rsidRPr="00482156">
        <w:rPr>
          <w:rFonts w:cstheme="minorHAnsi"/>
        </w:rPr>
        <w:t xml:space="preserve">Rekomendacje: Uwzględnij analizę SWOT i PESTEL dla lepszego pokazania firmy na tle konkurencji oraz otoczenia rynkowego. Dodaj elementy </w:t>
      </w:r>
      <w:proofErr w:type="spellStart"/>
      <w:r w:rsidRPr="00482156">
        <w:rPr>
          <w:rFonts w:cstheme="minorHAnsi"/>
        </w:rPr>
        <w:t>benchmarkingu</w:t>
      </w:r>
      <w:proofErr w:type="spellEnd"/>
      <w:r w:rsidRPr="00482156">
        <w:rPr>
          <w:rFonts w:cstheme="minorHAnsi"/>
        </w:rPr>
        <w:t>, w tym mapy konkurencji, by podkreślić swoją pozycję.</w:t>
      </w:r>
    </w:p>
    <w:p w14:paraId="1CC765A2" w14:textId="009B708E" w:rsidR="00B85B51" w:rsidRPr="00482156" w:rsidRDefault="00B85B51" w:rsidP="00B85B51">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t xml:space="preserve">Aspekty prawne </w:t>
      </w:r>
    </w:p>
    <w:p w14:paraId="2892B72B" w14:textId="0AD6F67C" w:rsidR="00B85B51" w:rsidRPr="00482156" w:rsidRDefault="00995071" w:rsidP="00B85B51">
      <w:pPr>
        <w:autoSpaceDE w:val="0"/>
        <w:autoSpaceDN w:val="0"/>
        <w:adjustRightInd w:val="0"/>
        <w:rPr>
          <w:rFonts w:cstheme="minorHAnsi"/>
        </w:rPr>
      </w:pPr>
      <w:r w:rsidRPr="00482156">
        <w:rPr>
          <w:rFonts w:cstheme="minorHAnsi"/>
        </w:rPr>
        <w:br/>
      </w:r>
      <w:r w:rsidR="00B85B51" w:rsidRPr="00482156">
        <w:rPr>
          <w:rFonts w:cstheme="minorHAnsi"/>
        </w:rPr>
        <w:t>Brak przygotowania firmy do sprzedaży/inwestycji pod kątem prawnym może być istotnym pr</w:t>
      </w:r>
      <w:r w:rsidRPr="00482156">
        <w:rPr>
          <w:rFonts w:cstheme="minorHAnsi"/>
        </w:rPr>
        <w:t>zeoczeniem</w:t>
      </w:r>
      <w:r w:rsidR="00B85B51" w:rsidRPr="00482156">
        <w:rPr>
          <w:rFonts w:cstheme="minorHAnsi"/>
        </w:rPr>
        <w:t>. </w:t>
      </w:r>
      <w:r w:rsidRPr="00482156">
        <w:rPr>
          <w:rFonts w:cstheme="minorHAnsi"/>
        </w:rPr>
        <w:t>Warto</w:t>
      </w:r>
      <w:r w:rsidR="00B85B51" w:rsidRPr="00482156">
        <w:rPr>
          <w:rFonts w:cstheme="minorHAnsi"/>
        </w:rPr>
        <w:t xml:space="preserve"> przeanalizować kluczowe umowy, </w:t>
      </w:r>
      <w:r w:rsidRPr="00482156">
        <w:rPr>
          <w:rFonts w:cstheme="minorHAnsi"/>
        </w:rPr>
        <w:t xml:space="preserve">zweryfikować np. </w:t>
      </w:r>
      <w:r w:rsidR="00B85B51" w:rsidRPr="00482156">
        <w:rPr>
          <w:rFonts w:cstheme="minorHAnsi"/>
        </w:rPr>
        <w:t>kwestie ochrony znaków towarowych oraz zgodność z regulacjami, takimi jak RODO.</w:t>
      </w:r>
    </w:p>
    <w:p w14:paraId="4EC5E694" w14:textId="77777777" w:rsidR="00B85B51" w:rsidRPr="00482156" w:rsidRDefault="00B85B51" w:rsidP="00B85B51">
      <w:pPr>
        <w:autoSpaceDE w:val="0"/>
        <w:autoSpaceDN w:val="0"/>
        <w:adjustRightInd w:val="0"/>
        <w:rPr>
          <w:rFonts w:cstheme="minorHAnsi"/>
          <w:b/>
          <w:bCs/>
        </w:rPr>
      </w:pPr>
    </w:p>
    <w:p w14:paraId="671EA377" w14:textId="70D3DD20" w:rsidR="00B85B51" w:rsidRPr="00482156" w:rsidRDefault="00B85B51" w:rsidP="00995071">
      <w:pPr>
        <w:autoSpaceDE w:val="0"/>
        <w:autoSpaceDN w:val="0"/>
        <w:adjustRightInd w:val="0"/>
        <w:rPr>
          <w:rFonts w:cstheme="minorHAnsi"/>
        </w:rPr>
      </w:pPr>
      <w:r w:rsidRPr="00482156">
        <w:rPr>
          <w:rFonts w:cstheme="minorHAnsi"/>
        </w:rPr>
        <w:t xml:space="preserve">Rekomendacje: przygotuj pełną dokumentację dotyczącą aspektów prawnych, stanowiącą dowód na to, że, firma jest pod tym kątem </w:t>
      </w:r>
      <w:r w:rsidR="00995071" w:rsidRPr="00482156">
        <w:rPr>
          <w:rFonts w:cstheme="minorHAnsi"/>
        </w:rPr>
        <w:t>właściwie zabezpieczona i działa zgodnie z obowiązującymi regulacjami.</w:t>
      </w:r>
      <w:r w:rsidR="00995071" w:rsidRPr="00482156">
        <w:rPr>
          <w:rFonts w:cstheme="minorHAnsi"/>
        </w:rPr>
        <w:br/>
      </w:r>
    </w:p>
    <w:p w14:paraId="118CE2A9" w14:textId="77777777" w:rsidR="003E4C15" w:rsidRPr="00482156" w:rsidRDefault="003E4C15" w:rsidP="00BC3B56">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lastRenderedPageBreak/>
        <w:t>Jak zwiększyć wartość postrzeganą firmy?</w:t>
      </w:r>
    </w:p>
    <w:p w14:paraId="58FB0B0E" w14:textId="5C6A35B2" w:rsidR="00160DBB"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Wartość firmy to nie tylko liczby w Excelu – to również sposób, w jaki marka jest postrzegana na rynku. Tutaj kluczową rolę odgrywa profesjonalne wsparcie, które oferuj</w:t>
      </w:r>
      <w:r w:rsidR="00BC3B56" w:rsidRPr="00482156">
        <w:rPr>
          <w:rFonts w:eastAsia="Times New Roman" w:cstheme="minorHAnsi"/>
          <w:lang w:eastAsia="en-GB"/>
        </w:rPr>
        <w:t>ą</w:t>
      </w:r>
      <w:r w:rsidRPr="00482156">
        <w:rPr>
          <w:rFonts w:eastAsia="Times New Roman" w:cstheme="minorHAnsi"/>
          <w:lang w:eastAsia="en-GB"/>
        </w:rPr>
        <w:t xml:space="preserve"> </w:t>
      </w:r>
      <w:r w:rsidR="00E37D3C" w:rsidRPr="00482156">
        <w:rPr>
          <w:rFonts w:eastAsia="Times New Roman" w:cstheme="minorHAnsi"/>
          <w:lang w:eastAsia="en-GB"/>
        </w:rPr>
        <w:t>firmy doradcze</w:t>
      </w:r>
      <w:r w:rsidRPr="00482156">
        <w:rPr>
          <w:rFonts w:eastAsia="Times New Roman" w:cstheme="minorHAnsi"/>
          <w:lang w:eastAsia="en-GB"/>
        </w:rPr>
        <w:t>. Jakie kroki można podjąć, aby podnieść wartość postrzeganą firmy?</w:t>
      </w:r>
      <w:r w:rsidR="00160DBB" w:rsidRPr="00482156">
        <w:rPr>
          <w:rFonts w:eastAsia="Times New Roman" w:cstheme="minorHAnsi"/>
          <w:lang w:eastAsia="en-GB"/>
        </w:rPr>
        <w:t xml:space="preserve"> </w:t>
      </w:r>
      <w:r w:rsidR="00716B08" w:rsidRPr="00482156">
        <w:rPr>
          <w:rFonts w:cstheme="minorHAnsi"/>
          <w:color w:val="0D0D0D"/>
          <w:shd w:val="clear" w:color="auto" w:fill="FFFFFF"/>
        </w:rPr>
        <w:t xml:space="preserve">Przygotowanie firmy do sprzedaży lub pozyskania inwestorów to proces wymagający przemyślanej strategii i dbałości o szczegóły. Prezes zarządu agencji </w:t>
      </w:r>
      <w:r w:rsidR="00995071" w:rsidRPr="00482156">
        <w:rPr>
          <w:rFonts w:cstheme="minorHAnsi"/>
          <w:color w:val="0D0D0D"/>
          <w:shd w:val="clear" w:color="auto" w:fill="FFFFFF"/>
        </w:rPr>
        <w:t>public rel</w:t>
      </w:r>
      <w:r w:rsidR="007766D9" w:rsidRPr="00482156">
        <w:rPr>
          <w:rFonts w:cstheme="minorHAnsi"/>
          <w:color w:val="0D0D0D"/>
          <w:shd w:val="clear" w:color="auto" w:fill="FFFFFF"/>
        </w:rPr>
        <w:t>a</w:t>
      </w:r>
      <w:r w:rsidR="00995071" w:rsidRPr="00482156">
        <w:rPr>
          <w:rFonts w:cstheme="minorHAnsi"/>
          <w:color w:val="0D0D0D"/>
          <w:shd w:val="clear" w:color="auto" w:fill="FFFFFF"/>
        </w:rPr>
        <w:t>tions</w:t>
      </w:r>
      <w:r w:rsidR="00716B08" w:rsidRPr="00482156">
        <w:rPr>
          <w:rFonts w:cstheme="minorHAnsi"/>
          <w:color w:val="0D0D0D"/>
          <w:shd w:val="clear" w:color="auto" w:fill="FFFFFF"/>
        </w:rPr>
        <w:t xml:space="preserve"> Commplace, Sebastian Kopiej, podkreśla, że działania powinny stanowić część większego planu, obejmującego analizę ryzyka, historie sukcesów oraz jasno określone cele rozwojowe. </w:t>
      </w:r>
    </w:p>
    <w:p w14:paraId="10B43BBF" w14:textId="4B3140BD" w:rsidR="00716B08" w:rsidRPr="00482156" w:rsidRDefault="00716B08" w:rsidP="003E4C15">
      <w:pPr>
        <w:spacing w:before="100" w:beforeAutospacing="1" w:after="100" w:afterAutospacing="1"/>
        <w:rPr>
          <w:rFonts w:eastAsia="Times New Roman" w:cstheme="minorHAnsi"/>
          <w:lang w:eastAsia="en-GB"/>
        </w:rPr>
      </w:pPr>
      <w:r w:rsidRPr="00482156">
        <w:rPr>
          <w:rFonts w:cstheme="minorHAnsi"/>
          <w:color w:val="0D0D0D"/>
          <w:shd w:val="clear" w:color="auto" w:fill="FFFFFF"/>
        </w:rPr>
        <w:t xml:space="preserve">– Ważnym elementem tego procesu jest zarządzanie danymi i wskaźnikami, które przyciągną uwagę potencjalnych inwestorów. Analiza ruchu na stronie internetowej firmy pozwala ocenić zainteresowanie produktami lub usługami, co może być cenną informacją dla inwestorów. Istotną rolę odgrywają również wskaźniki PR, takie jak opinie w mediach, </w:t>
      </w:r>
      <w:r w:rsidR="00A84404" w:rsidRPr="00482156">
        <w:rPr>
          <w:rFonts w:cstheme="minorHAnsi"/>
          <w:color w:val="0D0D0D"/>
          <w:shd w:val="clear" w:color="auto" w:fill="FFFFFF"/>
        </w:rPr>
        <w:t xml:space="preserve">reputacja, </w:t>
      </w:r>
      <w:r w:rsidRPr="00482156">
        <w:rPr>
          <w:rFonts w:cstheme="minorHAnsi"/>
          <w:color w:val="0D0D0D"/>
          <w:shd w:val="clear" w:color="auto" w:fill="FFFFFF"/>
        </w:rPr>
        <w:t>liczba publikacji oraz oceny, które wpływają na postrzeganie firmy. Warto zadbać o skuteczne kampanie reklamowe w internecie i mediach społecznościowych, które podnoszą widoczność oraz rozpoznawalność marki</w:t>
      </w:r>
      <w:r w:rsidR="00AF2160" w:rsidRPr="00482156">
        <w:rPr>
          <w:rFonts w:cstheme="minorHAnsi"/>
          <w:color w:val="0D0D0D"/>
          <w:shd w:val="clear" w:color="auto" w:fill="FFFFFF"/>
        </w:rPr>
        <w:t xml:space="preserve">. </w:t>
      </w:r>
      <w:r w:rsidRPr="00482156">
        <w:rPr>
          <w:rFonts w:cstheme="minorHAnsi"/>
          <w:color w:val="0D0D0D"/>
          <w:shd w:val="clear" w:color="auto" w:fill="FFFFFF"/>
        </w:rPr>
        <w:t>Aktywność w mediach społecznościowych, liczba obserwujących i zaangażowanie użytkowników to kolejne kluczowe wskaźniki, które inwestorzy biorą pod uwagę przy ocenie potencjału firmy. – wylicza</w:t>
      </w:r>
      <w:r w:rsidR="00160DBB" w:rsidRPr="00482156">
        <w:rPr>
          <w:rFonts w:cstheme="minorHAnsi"/>
          <w:color w:val="0D0D0D"/>
          <w:shd w:val="clear" w:color="auto" w:fill="FFFFFF"/>
        </w:rPr>
        <w:t xml:space="preserve"> </w:t>
      </w:r>
      <w:r w:rsidR="00BC5D5C" w:rsidRPr="00482156">
        <w:rPr>
          <w:rFonts w:cstheme="minorHAnsi"/>
          <w:color w:val="0D0D0D"/>
          <w:shd w:val="clear" w:color="auto" w:fill="FFFFFF"/>
        </w:rPr>
        <w:t xml:space="preserve">Sebastian </w:t>
      </w:r>
      <w:r w:rsidR="00160DBB" w:rsidRPr="00482156">
        <w:rPr>
          <w:rFonts w:cstheme="minorHAnsi"/>
          <w:color w:val="0D0D0D"/>
          <w:shd w:val="clear" w:color="auto" w:fill="FFFFFF"/>
        </w:rPr>
        <w:t>Kopiej</w:t>
      </w:r>
      <w:r w:rsidRPr="00482156">
        <w:rPr>
          <w:rFonts w:cstheme="minorHAnsi"/>
          <w:color w:val="0D0D0D"/>
          <w:shd w:val="clear" w:color="auto" w:fill="FFFFFF"/>
        </w:rPr>
        <w:t>.</w:t>
      </w:r>
    </w:p>
    <w:p w14:paraId="6392C672" w14:textId="75A123F7" w:rsidR="003E4C15" w:rsidRPr="00482156" w:rsidRDefault="004143A8" w:rsidP="00160DBB">
      <w:pPr>
        <w:pStyle w:val="Nagwek2"/>
        <w:rPr>
          <w:rFonts w:asciiTheme="minorHAnsi" w:eastAsia="Times New Roman" w:hAnsiTheme="minorHAnsi" w:cstheme="minorHAnsi"/>
          <w:lang w:eastAsia="en-GB"/>
        </w:rPr>
      </w:pPr>
      <w:r w:rsidRPr="00482156">
        <w:rPr>
          <w:rFonts w:asciiTheme="minorHAnsi" w:eastAsia="Times New Roman" w:hAnsiTheme="minorHAnsi" w:cstheme="minorHAnsi"/>
          <w:lang w:eastAsia="en-GB"/>
        </w:rPr>
        <w:t>Holistyczne podej</w:t>
      </w:r>
      <w:r w:rsidR="00160DBB" w:rsidRPr="00482156">
        <w:rPr>
          <w:rFonts w:asciiTheme="minorHAnsi" w:eastAsia="Times New Roman" w:hAnsiTheme="minorHAnsi" w:cstheme="minorHAnsi"/>
          <w:lang w:eastAsia="en-GB"/>
        </w:rPr>
        <w:t>ś</w:t>
      </w:r>
      <w:r w:rsidR="00793AD6" w:rsidRPr="00482156">
        <w:rPr>
          <w:rFonts w:asciiTheme="minorHAnsi" w:eastAsia="Times New Roman" w:hAnsiTheme="minorHAnsi" w:cstheme="minorHAnsi"/>
          <w:lang w:eastAsia="en-GB"/>
        </w:rPr>
        <w:t>cie</w:t>
      </w:r>
    </w:p>
    <w:p w14:paraId="10D3DD8E" w14:textId="517C6033" w:rsidR="003E4C15" w:rsidRPr="00482156" w:rsidRDefault="003E4C15" w:rsidP="003E4C15">
      <w:pPr>
        <w:spacing w:before="100" w:beforeAutospacing="1" w:after="100" w:afterAutospacing="1"/>
        <w:rPr>
          <w:rFonts w:eastAsia="Times New Roman" w:cstheme="minorHAnsi"/>
          <w:lang w:eastAsia="en-GB"/>
        </w:rPr>
      </w:pPr>
      <w:r w:rsidRPr="00482156">
        <w:rPr>
          <w:rFonts w:eastAsia="Times New Roman" w:cstheme="minorHAnsi"/>
          <w:lang w:eastAsia="en-GB"/>
        </w:rPr>
        <w:t xml:space="preserve">Zwiększenie wartości firmy w oczach inwestorów wymaga zarówno optymalizacji wewnętrznych procesów, jak i skutecznej strategii komunikacyjnej. </w:t>
      </w:r>
      <w:r w:rsidR="004143A8" w:rsidRPr="00482156">
        <w:rPr>
          <w:rFonts w:cstheme="minorHAnsi"/>
        </w:rPr>
        <w:t>Inwestorzy biorą pod uwagę wiele aspektów, zanim podejmą decyzję o zaangażowaniu w firmę. Oczekują solidnej analizy rynku, dokładnej analizy konkurencji, przedstawienia pozycji marki na tle rywali oraz perspektyw</w:t>
      </w:r>
      <w:r w:rsidR="00160DBB" w:rsidRPr="00482156">
        <w:rPr>
          <w:rFonts w:cstheme="minorHAnsi"/>
        </w:rPr>
        <w:t xml:space="preserve"> i możliwości </w:t>
      </w:r>
      <w:r w:rsidR="004143A8" w:rsidRPr="00482156">
        <w:rPr>
          <w:rFonts w:cstheme="minorHAnsi"/>
        </w:rPr>
        <w:t>rozwoju. Ważne są też historyczne dane sprzedażowe, prognozy na przyszłość, a także struktura przychodów i sposób rozliczeń z kontrahentami.</w:t>
      </w:r>
    </w:p>
    <w:p w14:paraId="2D6E934A" w14:textId="32C5BB0A" w:rsidR="003766A4" w:rsidRPr="00482156" w:rsidRDefault="003766A4" w:rsidP="003766A4">
      <w:pPr>
        <w:pStyle w:val="NormalnyWeb"/>
        <w:rPr>
          <w:rFonts w:asciiTheme="minorHAnsi" w:eastAsiaTheme="minorHAnsi" w:hAnsiTheme="minorHAnsi" w:cstheme="minorHAnsi"/>
          <w:lang w:eastAsia="en-US"/>
        </w:rPr>
      </w:pPr>
      <w:r w:rsidRPr="00482156">
        <w:rPr>
          <w:rFonts w:asciiTheme="minorHAnsi" w:eastAsiaTheme="minorHAnsi" w:hAnsiTheme="minorHAnsi" w:cstheme="minorHAnsi"/>
          <w:lang w:eastAsia="en-US"/>
        </w:rPr>
        <w:t xml:space="preserve">Przygotowanie firmy do pozyskania inwestora wymaga także głębokiego zrozumienia, kim jest inwestor: jaka będzie jego motywacja oraz jakie obawy mogą towarzyszyć jego decyzji inwestycyjnej.  – Przygotowując firmę do sprzedaży lub pozyskiwania inwestora, kluczowe jest dokładne przemyślenie strategii. Kto będzie inwestorem? Jaka będzie jego motywacja do całego przedsięwzięcia? Jakie może mieć bariery i obawy? Zrozumienie, co jest dla inwestora najistotniejsze – czy to szybki zwrot z inwestycji, długoterminowy rozwój, czy możliwość integracji z innymi podmiotami – pozwala lepiej przygotować firmę na taką transakcję. Ważne jest także odpowiednie przygotowanie komunikacji, by odpowiedzieć na ewentualne wątpliwości związane z ryzykiem czy przyszłymi wyzwaniami. – konkluduje </w:t>
      </w:r>
      <w:r w:rsidR="00BF5F4E" w:rsidRPr="00482156">
        <w:rPr>
          <w:rFonts w:asciiTheme="minorHAnsi" w:eastAsiaTheme="minorHAnsi" w:hAnsiTheme="minorHAnsi" w:cstheme="minorHAnsi"/>
          <w:lang w:eastAsia="en-US"/>
        </w:rPr>
        <w:t xml:space="preserve">Sebastian Kopiej </w:t>
      </w:r>
      <w:r w:rsidRPr="00482156">
        <w:rPr>
          <w:rFonts w:asciiTheme="minorHAnsi" w:eastAsiaTheme="minorHAnsi" w:hAnsiTheme="minorHAnsi" w:cstheme="minorHAnsi"/>
          <w:lang w:eastAsia="en-US"/>
        </w:rPr>
        <w:t xml:space="preserve">prezes zarządu agencji </w:t>
      </w:r>
      <w:r w:rsidR="007766D9" w:rsidRPr="00482156">
        <w:rPr>
          <w:rFonts w:asciiTheme="minorHAnsi" w:eastAsiaTheme="minorHAnsi" w:hAnsiTheme="minorHAnsi" w:cstheme="minorHAnsi"/>
          <w:lang w:eastAsia="en-US"/>
        </w:rPr>
        <w:t xml:space="preserve">public relations </w:t>
      </w:r>
      <w:r w:rsidRPr="00482156">
        <w:rPr>
          <w:rFonts w:asciiTheme="minorHAnsi" w:eastAsiaTheme="minorHAnsi" w:hAnsiTheme="minorHAnsi" w:cstheme="minorHAnsi"/>
          <w:lang w:eastAsia="en-US"/>
        </w:rPr>
        <w:t>Commplace.</w:t>
      </w:r>
    </w:p>
    <w:p w14:paraId="2D73B22F" w14:textId="1B4997A0" w:rsidR="00917BA9" w:rsidRPr="00482156" w:rsidRDefault="00917BA9" w:rsidP="00917BA9">
      <w:pPr>
        <w:autoSpaceDE w:val="0"/>
        <w:autoSpaceDN w:val="0"/>
        <w:adjustRightInd w:val="0"/>
        <w:rPr>
          <w:rFonts w:cstheme="minorHAnsi"/>
        </w:rPr>
      </w:pPr>
      <w:r w:rsidRPr="00482156">
        <w:rPr>
          <w:rFonts w:cstheme="minorHAnsi"/>
        </w:rPr>
        <w:t xml:space="preserve">A na koniec, </w:t>
      </w:r>
      <w:proofErr w:type="spellStart"/>
      <w:r w:rsidRPr="00482156">
        <w:rPr>
          <w:rFonts w:cstheme="minorHAnsi"/>
        </w:rPr>
        <w:t>checklista</w:t>
      </w:r>
      <w:proofErr w:type="spellEnd"/>
      <w:r w:rsidRPr="00482156">
        <w:rPr>
          <w:rFonts w:cstheme="minorHAnsi"/>
        </w:rPr>
        <w:t xml:space="preserve"> – na te aspekty zwróć uwagę, jeśli przygotowujesz firmę do sprzedaży lub poszukujesz inwestora:</w:t>
      </w:r>
    </w:p>
    <w:p w14:paraId="4A878D90" w14:textId="77777777" w:rsidR="00917BA9" w:rsidRPr="00482156" w:rsidRDefault="00917BA9" w:rsidP="00917BA9">
      <w:pPr>
        <w:pStyle w:val="Akapitzlist"/>
        <w:numPr>
          <w:ilvl w:val="0"/>
          <w:numId w:val="12"/>
        </w:numPr>
        <w:shd w:val="clear" w:color="auto" w:fill="FFFFFF"/>
        <w:spacing w:before="100" w:beforeAutospacing="1" w:after="100" w:afterAutospacing="1"/>
        <w:outlineLvl w:val="3"/>
        <w:rPr>
          <w:rFonts w:cstheme="minorHAnsi"/>
          <w:b/>
          <w:bCs/>
        </w:rPr>
      </w:pPr>
      <w:r w:rsidRPr="00482156">
        <w:rPr>
          <w:rFonts w:cstheme="minorHAnsi"/>
          <w:b/>
          <w:bCs/>
        </w:rPr>
        <w:t>Audyt wewnętrzny</w:t>
      </w:r>
    </w:p>
    <w:p w14:paraId="4D4EBB02" w14:textId="77777777" w:rsidR="00917BA9" w:rsidRPr="00482156" w:rsidRDefault="00917BA9" w:rsidP="00917BA9">
      <w:pPr>
        <w:numPr>
          <w:ilvl w:val="0"/>
          <w:numId w:val="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lastRenderedPageBreak/>
        <w:t> Przegląd finansowy: bilans, rachunek zysków i strat, przepływy pieniężne (cash flow).</w:t>
      </w:r>
    </w:p>
    <w:p w14:paraId="60691291" w14:textId="77777777" w:rsidR="00917BA9" w:rsidRPr="00482156" w:rsidRDefault="00917BA9" w:rsidP="00917BA9">
      <w:pPr>
        <w:numPr>
          <w:ilvl w:val="0"/>
          <w:numId w:val="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Analiza kosztów operacyjnych i możliwości ich optymalizacji.</w:t>
      </w:r>
    </w:p>
    <w:p w14:paraId="39FA3285" w14:textId="77777777" w:rsidR="00917BA9" w:rsidRPr="00482156" w:rsidRDefault="00917BA9" w:rsidP="00917BA9">
      <w:pPr>
        <w:numPr>
          <w:ilvl w:val="0"/>
          <w:numId w:val="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Ocena procesów wewnętrznych: wydajność, automatyzacja, standardowe procedury operacyjne.</w:t>
      </w:r>
    </w:p>
    <w:p w14:paraId="4E70FD18" w14:textId="77777777" w:rsidR="00917BA9" w:rsidRPr="00482156" w:rsidRDefault="00917BA9" w:rsidP="00917BA9">
      <w:pPr>
        <w:numPr>
          <w:ilvl w:val="0"/>
          <w:numId w:val="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Weryfikacja kluczowych pracowników i struktury organizacyjnej.</w:t>
      </w:r>
    </w:p>
    <w:p w14:paraId="5FAA6752" w14:textId="77777777" w:rsidR="00917BA9" w:rsidRPr="00482156" w:rsidRDefault="00917BA9" w:rsidP="00917BA9">
      <w:pPr>
        <w:shd w:val="clear" w:color="auto" w:fill="FFFFFF"/>
        <w:spacing w:before="100" w:beforeAutospacing="1" w:after="100" w:afterAutospacing="1"/>
        <w:outlineLvl w:val="3"/>
        <w:rPr>
          <w:rFonts w:eastAsia="Times New Roman" w:cstheme="minorHAnsi"/>
          <w:b/>
          <w:bCs/>
          <w:color w:val="0D0D0D"/>
          <w:lang w:eastAsia="en-GB"/>
        </w:rPr>
      </w:pPr>
      <w:r w:rsidRPr="00482156">
        <w:rPr>
          <w:rFonts w:cstheme="minorHAnsi"/>
          <w:b/>
          <w:bCs/>
        </w:rPr>
        <w:t>2. Dokumentacja finansowa</w:t>
      </w:r>
    </w:p>
    <w:p w14:paraId="274A9A52" w14:textId="77777777" w:rsidR="00917BA9" w:rsidRPr="00482156" w:rsidRDefault="00917BA9" w:rsidP="00917BA9">
      <w:pPr>
        <w:numPr>
          <w:ilvl w:val="0"/>
          <w:numId w:val="2"/>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Przygotowanie sprawozdań finansowych za ostatnie 3–5 lat.</w:t>
      </w:r>
    </w:p>
    <w:p w14:paraId="740EF3FC" w14:textId="77777777" w:rsidR="00917BA9" w:rsidRPr="00482156" w:rsidRDefault="00917BA9" w:rsidP="00917BA9">
      <w:pPr>
        <w:numPr>
          <w:ilvl w:val="0"/>
          <w:numId w:val="2"/>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Opracowanie prognoz finansowych na najbliższe lata.</w:t>
      </w:r>
    </w:p>
    <w:p w14:paraId="7CB2ED39" w14:textId="77777777" w:rsidR="00917BA9" w:rsidRPr="00482156" w:rsidRDefault="00917BA9" w:rsidP="00917BA9">
      <w:pPr>
        <w:numPr>
          <w:ilvl w:val="0"/>
          <w:numId w:val="2"/>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Zestawienie bieżących zobowiązań i należności.</w:t>
      </w:r>
    </w:p>
    <w:p w14:paraId="7743AC73" w14:textId="77777777" w:rsidR="00917BA9" w:rsidRPr="00482156" w:rsidRDefault="00917BA9" w:rsidP="00917BA9">
      <w:pPr>
        <w:numPr>
          <w:ilvl w:val="0"/>
          <w:numId w:val="2"/>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Przegląd historii podatkowej i zgodności z przepisami podatkowymi.</w:t>
      </w:r>
    </w:p>
    <w:p w14:paraId="7A3BA4A5"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3. Strategia rozwoju i potencjał wzrostu</w:t>
      </w:r>
    </w:p>
    <w:p w14:paraId="5D284B4C" w14:textId="77777777" w:rsidR="00917BA9" w:rsidRPr="00482156" w:rsidRDefault="00917BA9" w:rsidP="00917BA9">
      <w:pPr>
        <w:numPr>
          <w:ilvl w:val="0"/>
          <w:numId w:val="3"/>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Identyfikacja możliwości ekspansji na nowe rynki.</w:t>
      </w:r>
    </w:p>
    <w:p w14:paraId="6DDD781A" w14:textId="77777777" w:rsidR="00917BA9" w:rsidRPr="00482156" w:rsidRDefault="00917BA9" w:rsidP="00917BA9">
      <w:pPr>
        <w:numPr>
          <w:ilvl w:val="0"/>
          <w:numId w:val="3"/>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Opracowanie planów innowacji produktowych lub usługowych.</w:t>
      </w:r>
    </w:p>
    <w:p w14:paraId="645560F3" w14:textId="77777777" w:rsidR="00917BA9" w:rsidRPr="00482156" w:rsidRDefault="00917BA9" w:rsidP="00917BA9">
      <w:pPr>
        <w:numPr>
          <w:ilvl w:val="0"/>
          <w:numId w:val="3"/>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Wskazanie potencjalnych działań związanych z dywersyfikacją oferty.</w:t>
      </w:r>
    </w:p>
    <w:p w14:paraId="3A752C82" w14:textId="77777777" w:rsidR="00917BA9" w:rsidRPr="00482156" w:rsidRDefault="00917BA9" w:rsidP="00917BA9">
      <w:pPr>
        <w:numPr>
          <w:ilvl w:val="0"/>
          <w:numId w:val="3"/>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Przygotowanie analizy ryzyka związanego z rozwojem.</w:t>
      </w:r>
    </w:p>
    <w:p w14:paraId="439A6A79" w14:textId="74D4BD1D" w:rsidR="004D3C2D" w:rsidRPr="00482156" w:rsidRDefault="004D3C2D" w:rsidP="00917BA9">
      <w:pPr>
        <w:numPr>
          <w:ilvl w:val="0"/>
          <w:numId w:val="3"/>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Cyfryzacja i automatyzacja procesów</w:t>
      </w:r>
      <w:r w:rsidR="00CE7BD9" w:rsidRPr="00482156">
        <w:rPr>
          <w:rFonts w:eastAsia="Times New Roman" w:cstheme="minorHAnsi"/>
          <w:color w:val="0D0D0D"/>
          <w:lang w:eastAsia="en-GB"/>
        </w:rPr>
        <w:t>.</w:t>
      </w:r>
    </w:p>
    <w:p w14:paraId="4784D2A8" w14:textId="74102492" w:rsidR="00CE7BD9" w:rsidRPr="00482156" w:rsidRDefault="00CE7BD9" w:rsidP="00917BA9">
      <w:pPr>
        <w:numPr>
          <w:ilvl w:val="0"/>
          <w:numId w:val="3"/>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Dywersyfikacja.</w:t>
      </w:r>
    </w:p>
    <w:p w14:paraId="3C395616"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4. Dokumenty prawne i regulacyjne</w:t>
      </w:r>
    </w:p>
    <w:p w14:paraId="7EA8622E" w14:textId="77777777" w:rsidR="00917BA9" w:rsidRPr="00482156" w:rsidRDefault="00917BA9" w:rsidP="00917BA9">
      <w:pPr>
        <w:numPr>
          <w:ilvl w:val="0"/>
          <w:numId w:val="4"/>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Przegląd i aktualizacja umów z kluczowymi partnerami handlowymi.</w:t>
      </w:r>
    </w:p>
    <w:p w14:paraId="1CCB76E6" w14:textId="77777777" w:rsidR="00917BA9" w:rsidRPr="00482156" w:rsidRDefault="00917BA9" w:rsidP="00917BA9">
      <w:pPr>
        <w:numPr>
          <w:ilvl w:val="0"/>
          <w:numId w:val="4"/>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Sprawdzenie ochrony własności intelektualnej (np. znaki towarowe, logo, patenty).</w:t>
      </w:r>
    </w:p>
    <w:p w14:paraId="449D1684" w14:textId="77777777" w:rsidR="00917BA9" w:rsidRPr="00482156" w:rsidRDefault="00917BA9" w:rsidP="00917BA9">
      <w:pPr>
        <w:numPr>
          <w:ilvl w:val="0"/>
          <w:numId w:val="4"/>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Weryfikacja zgodności z regulacjami branżowymi, w tym RODO.</w:t>
      </w:r>
    </w:p>
    <w:p w14:paraId="5975B24C" w14:textId="77777777" w:rsidR="00917BA9" w:rsidRPr="00482156" w:rsidRDefault="00917BA9" w:rsidP="00917BA9">
      <w:pPr>
        <w:numPr>
          <w:ilvl w:val="0"/>
          <w:numId w:val="4"/>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Przygotowanie rejestru potencjalnych ryzyk prawnych.</w:t>
      </w:r>
    </w:p>
    <w:p w14:paraId="1346007A"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5. Wizerunek i reputacja</w:t>
      </w:r>
    </w:p>
    <w:p w14:paraId="7F8D0D40" w14:textId="77777777" w:rsidR="00917BA9" w:rsidRPr="00482156" w:rsidRDefault="00917BA9" w:rsidP="00917BA9">
      <w:pPr>
        <w:numPr>
          <w:ilvl w:val="0"/>
          <w:numId w:val="5"/>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Analiza obecności firmy w mediach i mediach społecznościowych.</w:t>
      </w:r>
    </w:p>
    <w:p w14:paraId="614254A6" w14:textId="77777777" w:rsidR="00917BA9" w:rsidRPr="00482156" w:rsidRDefault="00917BA9" w:rsidP="00917BA9">
      <w:pPr>
        <w:numPr>
          <w:ilvl w:val="0"/>
          <w:numId w:val="5"/>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Przegląd i ocena działań PR oraz kampanii marketingowych.</w:t>
      </w:r>
    </w:p>
    <w:p w14:paraId="48B63CA5" w14:textId="77777777" w:rsidR="00917BA9" w:rsidRPr="00482156" w:rsidRDefault="00917BA9" w:rsidP="00917BA9">
      <w:pPr>
        <w:numPr>
          <w:ilvl w:val="0"/>
          <w:numId w:val="5"/>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Analiza opinii klientów oraz wskaźników lojalności (np. NPS).</w:t>
      </w:r>
    </w:p>
    <w:p w14:paraId="124165B4" w14:textId="74DB5CF4" w:rsidR="00917BA9" w:rsidRPr="00482156" w:rsidRDefault="00917BA9" w:rsidP="00917BA9">
      <w:pPr>
        <w:numPr>
          <w:ilvl w:val="0"/>
          <w:numId w:val="5"/>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Weryfikacja wyników SEO i widoczności strony internetowej</w:t>
      </w:r>
      <w:r w:rsidR="0007345E" w:rsidRPr="00482156">
        <w:rPr>
          <w:rFonts w:eastAsia="Times New Roman" w:cstheme="minorHAnsi"/>
          <w:color w:val="0D0D0D"/>
          <w:lang w:eastAsia="en-GB"/>
        </w:rPr>
        <w:t xml:space="preserve"> na tle konkurencji</w:t>
      </w:r>
      <w:r w:rsidRPr="00482156">
        <w:rPr>
          <w:rFonts w:eastAsia="Times New Roman" w:cstheme="minorHAnsi"/>
          <w:color w:val="0D0D0D"/>
          <w:lang w:eastAsia="en-GB"/>
        </w:rPr>
        <w:t>.</w:t>
      </w:r>
    </w:p>
    <w:p w14:paraId="71E7631C"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6. Analiza rynku i konkurencji</w:t>
      </w:r>
    </w:p>
    <w:p w14:paraId="54D21644" w14:textId="77777777" w:rsidR="00917BA9" w:rsidRPr="00482156" w:rsidRDefault="00917BA9" w:rsidP="00917BA9">
      <w:pPr>
        <w:numPr>
          <w:ilvl w:val="0"/>
          <w:numId w:val="6"/>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Przygotowanie analizy SWOT i PESTEL.</w:t>
      </w:r>
    </w:p>
    <w:p w14:paraId="1AAD1A87" w14:textId="77777777" w:rsidR="00917BA9" w:rsidRPr="00482156" w:rsidRDefault="00917BA9" w:rsidP="00917BA9">
      <w:pPr>
        <w:numPr>
          <w:ilvl w:val="0"/>
          <w:numId w:val="6"/>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lastRenderedPageBreak/>
        <w:t> Benchmarking: ocena pozycji firmy na tle konkurencji.</w:t>
      </w:r>
    </w:p>
    <w:p w14:paraId="7DDF6F20" w14:textId="77777777" w:rsidR="00917BA9" w:rsidRPr="00482156" w:rsidRDefault="00917BA9" w:rsidP="00917BA9">
      <w:pPr>
        <w:numPr>
          <w:ilvl w:val="0"/>
          <w:numId w:val="6"/>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Opracowanie mapy konkurencji i wyróżników firmy.</w:t>
      </w:r>
    </w:p>
    <w:p w14:paraId="7FB726C4" w14:textId="77777777" w:rsidR="00917BA9" w:rsidRPr="00482156" w:rsidRDefault="00917BA9" w:rsidP="00917BA9">
      <w:pPr>
        <w:numPr>
          <w:ilvl w:val="0"/>
          <w:numId w:val="6"/>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Weryfikacja trendów rynkowych wpływających na branżę.</w:t>
      </w:r>
    </w:p>
    <w:p w14:paraId="30572F0E"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7. Kluczowe wskaźniki operacyjne</w:t>
      </w:r>
    </w:p>
    <w:p w14:paraId="1BB4FDAF" w14:textId="77777777" w:rsidR="00917BA9" w:rsidRPr="00482156" w:rsidRDefault="00917BA9" w:rsidP="00917BA9">
      <w:pPr>
        <w:numPr>
          <w:ilvl w:val="0"/>
          <w:numId w:val="7"/>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Ocena poziomu satysfakcji klientów (NPS, wskaźniki lojalności).</w:t>
      </w:r>
    </w:p>
    <w:p w14:paraId="0974F500" w14:textId="77777777" w:rsidR="00917BA9" w:rsidRPr="00482156" w:rsidRDefault="00917BA9" w:rsidP="00917BA9">
      <w:pPr>
        <w:numPr>
          <w:ilvl w:val="0"/>
          <w:numId w:val="7"/>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Przegląd wyników kampanii reklamowych (konwersje, zaangażowanie w social media).</w:t>
      </w:r>
    </w:p>
    <w:p w14:paraId="66E7ACFB" w14:textId="77777777" w:rsidR="00917BA9" w:rsidRPr="00482156" w:rsidRDefault="00917BA9" w:rsidP="00917BA9">
      <w:pPr>
        <w:numPr>
          <w:ilvl w:val="0"/>
          <w:numId w:val="7"/>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Analiza rotacji pracowników i związanych kosztów.</w:t>
      </w:r>
    </w:p>
    <w:p w14:paraId="60E40AEC" w14:textId="77777777" w:rsidR="00917BA9" w:rsidRPr="00482156" w:rsidRDefault="00917BA9" w:rsidP="00917BA9">
      <w:pPr>
        <w:numPr>
          <w:ilvl w:val="0"/>
          <w:numId w:val="7"/>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Ocena wskaźników ESG (środowiskowych, społecznych i ładu korporacyjnego).</w:t>
      </w:r>
    </w:p>
    <w:p w14:paraId="2783F599"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8. Przygotowanie zespołu</w:t>
      </w:r>
    </w:p>
    <w:p w14:paraId="0C71BDB6" w14:textId="77777777" w:rsidR="00917BA9" w:rsidRPr="00482156" w:rsidRDefault="00917BA9" w:rsidP="00917BA9">
      <w:pPr>
        <w:numPr>
          <w:ilvl w:val="0"/>
          <w:numId w:val="8"/>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Szkolenia dla zespołu w zakresie prezentacji firmy i rozmów z inwestorami.</w:t>
      </w:r>
    </w:p>
    <w:p w14:paraId="02879B67" w14:textId="77777777" w:rsidR="00917BA9" w:rsidRPr="00482156" w:rsidRDefault="00917BA9" w:rsidP="00917BA9">
      <w:pPr>
        <w:numPr>
          <w:ilvl w:val="0"/>
          <w:numId w:val="8"/>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Identyfikacja kluczowych osób odpowiedzialnych za proces sprzedaży.</w:t>
      </w:r>
    </w:p>
    <w:p w14:paraId="625DB8B7"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9. Prezentacja dla inwestorów</w:t>
      </w:r>
    </w:p>
    <w:p w14:paraId="40842C1B" w14:textId="77777777" w:rsidR="00917BA9" w:rsidRPr="00482156" w:rsidRDefault="00917BA9" w:rsidP="00917BA9">
      <w:pPr>
        <w:numPr>
          <w:ilvl w:val="0"/>
          <w:numId w:val="9"/>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Opracowanie teasera inwestycyjnego (krótkiego opisu firmy i jej potencjału).</w:t>
      </w:r>
    </w:p>
    <w:p w14:paraId="299CE9AB" w14:textId="77777777" w:rsidR="00917BA9" w:rsidRPr="00482156" w:rsidRDefault="00917BA9" w:rsidP="00917BA9">
      <w:pPr>
        <w:numPr>
          <w:ilvl w:val="0"/>
          <w:numId w:val="9"/>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Przygotowanie profesjonalnego pitch decku dla inwestorów.</w:t>
      </w:r>
    </w:p>
    <w:p w14:paraId="03BD0125" w14:textId="77777777" w:rsidR="00917BA9" w:rsidRPr="00482156" w:rsidRDefault="00917BA9" w:rsidP="00917BA9">
      <w:pPr>
        <w:numPr>
          <w:ilvl w:val="0"/>
          <w:numId w:val="9"/>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Zestawienie kluczowych argumentów sprzedażowych i przewag konkurencyjnych.</w:t>
      </w:r>
    </w:p>
    <w:p w14:paraId="4F67A0BD" w14:textId="77777777" w:rsidR="00482156" w:rsidRDefault="00917BA9" w:rsidP="00482156">
      <w:pPr>
        <w:numPr>
          <w:ilvl w:val="0"/>
          <w:numId w:val="9"/>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Przygotowanie case studies i przykładów sukcesów firmy.</w:t>
      </w:r>
    </w:p>
    <w:p w14:paraId="102070BC" w14:textId="47F57767" w:rsidR="00933228" w:rsidRPr="00482156" w:rsidRDefault="00933228" w:rsidP="00482156">
      <w:pPr>
        <w:numPr>
          <w:ilvl w:val="0"/>
          <w:numId w:val="9"/>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Kluczowi klienci</w:t>
      </w:r>
      <w:r w:rsidR="00482156">
        <w:rPr>
          <w:rFonts w:eastAsia="Times New Roman" w:cstheme="minorHAnsi"/>
          <w:color w:val="0D0D0D"/>
          <w:lang w:eastAsia="en-GB"/>
        </w:rPr>
        <w:t>.</w:t>
      </w:r>
    </w:p>
    <w:p w14:paraId="5B3ED989"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10. Plan działania</w:t>
      </w:r>
    </w:p>
    <w:p w14:paraId="152C55B5" w14:textId="77777777" w:rsidR="00917BA9" w:rsidRPr="00482156" w:rsidRDefault="00917BA9" w:rsidP="00917BA9">
      <w:pPr>
        <w:numPr>
          <w:ilvl w:val="0"/>
          <w:numId w:val="10"/>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Stworzenie szczegółowego harmonogramu procesu sprzedaży/inwestycji.</w:t>
      </w:r>
    </w:p>
    <w:p w14:paraId="60E0BAAC" w14:textId="77777777" w:rsidR="00917BA9" w:rsidRPr="00482156" w:rsidRDefault="00917BA9" w:rsidP="00917BA9">
      <w:pPr>
        <w:numPr>
          <w:ilvl w:val="0"/>
          <w:numId w:val="10"/>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Wyznaczenie kluczowych terminów i kamieni milowych.</w:t>
      </w:r>
    </w:p>
    <w:p w14:paraId="286641FC" w14:textId="77777777" w:rsidR="00917BA9" w:rsidRPr="00482156" w:rsidRDefault="00917BA9" w:rsidP="00917BA9">
      <w:pPr>
        <w:numPr>
          <w:ilvl w:val="0"/>
          <w:numId w:val="10"/>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Zidentyfikowanie potencjalnych inwestorów i kanałów komunikacji.</w:t>
      </w:r>
    </w:p>
    <w:p w14:paraId="75FE30CB" w14:textId="77777777" w:rsidR="00917BA9" w:rsidRPr="00482156" w:rsidRDefault="00917BA9" w:rsidP="00917BA9">
      <w:pPr>
        <w:numPr>
          <w:ilvl w:val="0"/>
          <w:numId w:val="10"/>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Monitorowanie postępu działań według ustalonego harmonogramu.</w:t>
      </w:r>
    </w:p>
    <w:p w14:paraId="33A2CA31" w14:textId="77777777" w:rsidR="00917BA9" w:rsidRPr="00482156" w:rsidRDefault="00917BA9" w:rsidP="00917BA9">
      <w:pPr>
        <w:shd w:val="clear" w:color="auto" w:fill="FFFFFF"/>
        <w:spacing w:before="100" w:beforeAutospacing="1" w:after="100" w:afterAutospacing="1"/>
        <w:outlineLvl w:val="3"/>
        <w:rPr>
          <w:rFonts w:cstheme="minorHAnsi"/>
          <w:b/>
          <w:bCs/>
        </w:rPr>
      </w:pPr>
      <w:r w:rsidRPr="00482156">
        <w:rPr>
          <w:rFonts w:cstheme="minorHAnsi"/>
          <w:b/>
          <w:bCs/>
        </w:rPr>
        <w:t>11. Dodatkowe materiały pomocnicze</w:t>
      </w:r>
    </w:p>
    <w:p w14:paraId="073389C1" w14:textId="77777777" w:rsidR="00917BA9" w:rsidRPr="00482156" w:rsidRDefault="00917BA9" w:rsidP="00917BA9">
      <w:pPr>
        <w:numPr>
          <w:ilvl w:val="0"/>
          <w:numId w:val="1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Checklisty kluczowych punktów do weryfikacji.</w:t>
      </w:r>
    </w:p>
    <w:p w14:paraId="5F385D52" w14:textId="77777777" w:rsidR="00917BA9" w:rsidRPr="00482156" w:rsidRDefault="00917BA9" w:rsidP="00917BA9">
      <w:pPr>
        <w:numPr>
          <w:ilvl w:val="0"/>
          <w:numId w:val="1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Case studies z sukcesami firmy.</w:t>
      </w:r>
    </w:p>
    <w:p w14:paraId="7D67C6E1" w14:textId="33F55603" w:rsidR="00917BA9" w:rsidRPr="00482156" w:rsidRDefault="00917BA9" w:rsidP="00917BA9">
      <w:pPr>
        <w:numPr>
          <w:ilvl w:val="0"/>
          <w:numId w:val="11"/>
        </w:numPr>
        <w:shd w:val="clear" w:color="auto" w:fill="FFFFFF"/>
        <w:spacing w:before="120" w:after="120"/>
        <w:rPr>
          <w:rFonts w:eastAsia="Times New Roman" w:cstheme="minorHAnsi"/>
          <w:color w:val="0D0D0D"/>
          <w:lang w:eastAsia="en-GB"/>
        </w:rPr>
      </w:pPr>
      <w:r w:rsidRPr="00482156">
        <w:rPr>
          <w:rFonts w:eastAsia="Times New Roman" w:cstheme="minorHAnsi"/>
          <w:color w:val="0D0D0D"/>
          <w:lang w:eastAsia="en-GB"/>
        </w:rPr>
        <w:t> Raport benchmarkingowy uwzględniający przewagi konkurencyjne firmy.</w:t>
      </w:r>
    </w:p>
    <w:p w14:paraId="11459443" w14:textId="77777777" w:rsidR="00917BA9" w:rsidRPr="00482156" w:rsidRDefault="00917BA9" w:rsidP="00917BA9">
      <w:pPr>
        <w:rPr>
          <w:rFonts w:cstheme="minorHAnsi"/>
        </w:rPr>
      </w:pPr>
    </w:p>
    <w:p w14:paraId="056CA650" w14:textId="77777777" w:rsidR="003E4C15" w:rsidRPr="00482156" w:rsidRDefault="003E4C15">
      <w:pPr>
        <w:rPr>
          <w:rFonts w:cstheme="minorHAnsi"/>
        </w:rPr>
      </w:pPr>
    </w:p>
    <w:sectPr w:rsidR="003E4C15" w:rsidRPr="004821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11B08"/>
    <w:multiLevelType w:val="multilevel"/>
    <w:tmpl w:val="8DFA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144148"/>
    <w:multiLevelType w:val="hybridMultilevel"/>
    <w:tmpl w:val="59CC7D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867514"/>
    <w:multiLevelType w:val="multilevel"/>
    <w:tmpl w:val="8348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C04630"/>
    <w:multiLevelType w:val="multilevel"/>
    <w:tmpl w:val="A556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586A32"/>
    <w:multiLevelType w:val="multilevel"/>
    <w:tmpl w:val="8A9A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E630D3"/>
    <w:multiLevelType w:val="multilevel"/>
    <w:tmpl w:val="A594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1052B2"/>
    <w:multiLevelType w:val="multilevel"/>
    <w:tmpl w:val="6AD4D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775E8C"/>
    <w:multiLevelType w:val="multilevel"/>
    <w:tmpl w:val="E7DED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297726"/>
    <w:multiLevelType w:val="multilevel"/>
    <w:tmpl w:val="8FAA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3F574C8"/>
    <w:multiLevelType w:val="multilevel"/>
    <w:tmpl w:val="DCF4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5D4398C"/>
    <w:multiLevelType w:val="multilevel"/>
    <w:tmpl w:val="DEE46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E957F89"/>
    <w:multiLevelType w:val="multilevel"/>
    <w:tmpl w:val="0B26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4774254">
    <w:abstractNumId w:val="9"/>
  </w:num>
  <w:num w:numId="2" w16cid:durableId="196965785">
    <w:abstractNumId w:val="3"/>
  </w:num>
  <w:num w:numId="3" w16cid:durableId="1138492910">
    <w:abstractNumId w:val="0"/>
  </w:num>
  <w:num w:numId="4" w16cid:durableId="486552150">
    <w:abstractNumId w:val="2"/>
  </w:num>
  <w:num w:numId="5" w16cid:durableId="1137337333">
    <w:abstractNumId w:val="4"/>
  </w:num>
  <w:num w:numId="6" w16cid:durableId="174536483">
    <w:abstractNumId w:val="7"/>
  </w:num>
  <w:num w:numId="7" w16cid:durableId="2118520941">
    <w:abstractNumId w:val="10"/>
  </w:num>
  <w:num w:numId="8" w16cid:durableId="1608737048">
    <w:abstractNumId w:val="8"/>
  </w:num>
  <w:num w:numId="9" w16cid:durableId="718014803">
    <w:abstractNumId w:val="6"/>
  </w:num>
  <w:num w:numId="10" w16cid:durableId="2005350278">
    <w:abstractNumId w:val="11"/>
  </w:num>
  <w:num w:numId="11" w16cid:durableId="1546336464">
    <w:abstractNumId w:val="5"/>
  </w:num>
  <w:num w:numId="12" w16cid:durableId="1176652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C15"/>
    <w:rsid w:val="00016187"/>
    <w:rsid w:val="0007345E"/>
    <w:rsid w:val="00160DBB"/>
    <w:rsid w:val="001C64EB"/>
    <w:rsid w:val="003766A4"/>
    <w:rsid w:val="003D5BA0"/>
    <w:rsid w:val="003E1ADC"/>
    <w:rsid w:val="003E4C15"/>
    <w:rsid w:val="00405EDA"/>
    <w:rsid w:val="004143A8"/>
    <w:rsid w:val="00474004"/>
    <w:rsid w:val="00482156"/>
    <w:rsid w:val="004B5FE9"/>
    <w:rsid w:val="004D3C2D"/>
    <w:rsid w:val="00545FD3"/>
    <w:rsid w:val="00552705"/>
    <w:rsid w:val="006106BF"/>
    <w:rsid w:val="00697B5C"/>
    <w:rsid w:val="006E4351"/>
    <w:rsid w:val="00704408"/>
    <w:rsid w:val="00716B08"/>
    <w:rsid w:val="007766D9"/>
    <w:rsid w:val="00793AD6"/>
    <w:rsid w:val="00883BB4"/>
    <w:rsid w:val="00884D11"/>
    <w:rsid w:val="008E124A"/>
    <w:rsid w:val="00917BA9"/>
    <w:rsid w:val="00933228"/>
    <w:rsid w:val="00995071"/>
    <w:rsid w:val="00A75819"/>
    <w:rsid w:val="00A84404"/>
    <w:rsid w:val="00A862BD"/>
    <w:rsid w:val="00AC3568"/>
    <w:rsid w:val="00AF2160"/>
    <w:rsid w:val="00B6137C"/>
    <w:rsid w:val="00B85B51"/>
    <w:rsid w:val="00BA7494"/>
    <w:rsid w:val="00BC3B56"/>
    <w:rsid w:val="00BC5D5C"/>
    <w:rsid w:val="00BD1986"/>
    <w:rsid w:val="00BF5F4E"/>
    <w:rsid w:val="00CE7BD9"/>
    <w:rsid w:val="00D73D17"/>
    <w:rsid w:val="00D811C7"/>
    <w:rsid w:val="00E37D3C"/>
    <w:rsid w:val="00E40D95"/>
    <w:rsid w:val="00E530D4"/>
    <w:rsid w:val="00ED10B0"/>
    <w:rsid w:val="00FF6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3CE23"/>
  <w15:chartTrackingRefBased/>
  <w15:docId w15:val="{A1A22D24-9FE2-A247-B014-284D433B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6E43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3E4C15"/>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Nagwek4">
    <w:name w:val="heading 4"/>
    <w:basedOn w:val="Normalny"/>
    <w:link w:val="Nagwek4Znak"/>
    <w:uiPriority w:val="9"/>
    <w:qFormat/>
    <w:rsid w:val="003E4C15"/>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3E4C15"/>
    <w:rPr>
      <w:rFonts w:ascii="Times New Roman" w:eastAsia="Times New Roman" w:hAnsi="Times New Roman" w:cs="Times New Roman"/>
      <w:b/>
      <w:bCs/>
      <w:sz w:val="27"/>
      <w:szCs w:val="27"/>
      <w:lang w:eastAsia="en-GB"/>
    </w:rPr>
  </w:style>
  <w:style w:type="character" w:customStyle="1" w:styleId="Nagwek4Znak">
    <w:name w:val="Nagłówek 4 Znak"/>
    <w:basedOn w:val="Domylnaczcionkaakapitu"/>
    <w:link w:val="Nagwek4"/>
    <w:uiPriority w:val="9"/>
    <w:rsid w:val="003E4C15"/>
    <w:rPr>
      <w:rFonts w:ascii="Times New Roman" w:eastAsia="Times New Roman" w:hAnsi="Times New Roman" w:cs="Times New Roman"/>
      <w:b/>
      <w:bCs/>
      <w:lang w:eastAsia="en-GB"/>
    </w:rPr>
  </w:style>
  <w:style w:type="paragraph" w:styleId="NormalnyWeb">
    <w:name w:val="Normal (Web)"/>
    <w:basedOn w:val="Normalny"/>
    <w:uiPriority w:val="99"/>
    <w:semiHidden/>
    <w:unhideWhenUsed/>
    <w:rsid w:val="003E4C15"/>
    <w:pPr>
      <w:spacing w:before="100" w:beforeAutospacing="1" w:after="100" w:afterAutospacing="1"/>
    </w:pPr>
    <w:rPr>
      <w:rFonts w:ascii="Times New Roman" w:eastAsia="Times New Roman" w:hAnsi="Times New Roman" w:cs="Times New Roman"/>
      <w:lang w:eastAsia="en-GB"/>
    </w:rPr>
  </w:style>
  <w:style w:type="character" w:customStyle="1" w:styleId="Nagwek2Znak">
    <w:name w:val="Nagłówek 2 Znak"/>
    <w:basedOn w:val="Domylnaczcionkaakapitu"/>
    <w:link w:val="Nagwek2"/>
    <w:uiPriority w:val="9"/>
    <w:rsid w:val="006E4351"/>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917BA9"/>
    <w:pPr>
      <w:ind w:left="720"/>
      <w:contextualSpacing/>
    </w:pPr>
  </w:style>
  <w:style w:type="paragraph" w:styleId="Poprawka">
    <w:name w:val="Revision"/>
    <w:hidden/>
    <w:uiPriority w:val="99"/>
    <w:semiHidden/>
    <w:rsid w:val="001C6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7906718">
      <w:bodyDiv w:val="1"/>
      <w:marLeft w:val="0"/>
      <w:marRight w:val="0"/>
      <w:marTop w:val="0"/>
      <w:marBottom w:val="0"/>
      <w:divBdr>
        <w:top w:val="none" w:sz="0" w:space="0" w:color="auto"/>
        <w:left w:val="none" w:sz="0" w:space="0" w:color="auto"/>
        <w:bottom w:val="none" w:sz="0" w:space="0" w:color="auto"/>
        <w:right w:val="none" w:sz="0" w:space="0" w:color="auto"/>
      </w:divBdr>
      <w:divsChild>
        <w:div w:id="1972318937">
          <w:marLeft w:val="0"/>
          <w:marRight w:val="0"/>
          <w:marTop w:val="0"/>
          <w:marBottom w:val="0"/>
          <w:divBdr>
            <w:top w:val="none" w:sz="0" w:space="0" w:color="auto"/>
            <w:left w:val="none" w:sz="0" w:space="0" w:color="auto"/>
            <w:bottom w:val="none" w:sz="0" w:space="0" w:color="auto"/>
            <w:right w:val="none" w:sz="0" w:space="0" w:color="auto"/>
          </w:divBdr>
          <w:divsChild>
            <w:div w:id="491798826">
              <w:marLeft w:val="0"/>
              <w:marRight w:val="0"/>
              <w:marTop w:val="0"/>
              <w:marBottom w:val="0"/>
              <w:divBdr>
                <w:top w:val="none" w:sz="0" w:space="0" w:color="auto"/>
                <w:left w:val="none" w:sz="0" w:space="0" w:color="auto"/>
                <w:bottom w:val="none" w:sz="0" w:space="0" w:color="auto"/>
                <w:right w:val="none" w:sz="0" w:space="0" w:color="auto"/>
              </w:divBdr>
              <w:divsChild>
                <w:div w:id="1141574934">
                  <w:marLeft w:val="0"/>
                  <w:marRight w:val="0"/>
                  <w:marTop w:val="0"/>
                  <w:marBottom w:val="0"/>
                  <w:divBdr>
                    <w:top w:val="none" w:sz="0" w:space="0" w:color="auto"/>
                    <w:left w:val="none" w:sz="0" w:space="0" w:color="auto"/>
                    <w:bottom w:val="none" w:sz="0" w:space="0" w:color="auto"/>
                    <w:right w:val="none" w:sz="0" w:space="0" w:color="auto"/>
                  </w:divBdr>
                  <w:divsChild>
                    <w:div w:id="384915324">
                      <w:marLeft w:val="0"/>
                      <w:marRight w:val="0"/>
                      <w:marTop w:val="0"/>
                      <w:marBottom w:val="0"/>
                      <w:divBdr>
                        <w:top w:val="none" w:sz="0" w:space="0" w:color="auto"/>
                        <w:left w:val="none" w:sz="0" w:space="0" w:color="auto"/>
                        <w:bottom w:val="none" w:sz="0" w:space="0" w:color="auto"/>
                        <w:right w:val="none" w:sz="0" w:space="0" w:color="auto"/>
                      </w:divBdr>
                      <w:divsChild>
                        <w:div w:id="753480114">
                          <w:marLeft w:val="0"/>
                          <w:marRight w:val="0"/>
                          <w:marTop w:val="0"/>
                          <w:marBottom w:val="0"/>
                          <w:divBdr>
                            <w:top w:val="none" w:sz="0" w:space="0" w:color="auto"/>
                            <w:left w:val="none" w:sz="0" w:space="0" w:color="auto"/>
                            <w:bottom w:val="none" w:sz="0" w:space="0" w:color="auto"/>
                            <w:right w:val="none" w:sz="0" w:space="0" w:color="auto"/>
                          </w:divBdr>
                          <w:divsChild>
                            <w:div w:id="1126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891646">
      <w:bodyDiv w:val="1"/>
      <w:marLeft w:val="0"/>
      <w:marRight w:val="0"/>
      <w:marTop w:val="0"/>
      <w:marBottom w:val="0"/>
      <w:divBdr>
        <w:top w:val="none" w:sz="0" w:space="0" w:color="auto"/>
        <w:left w:val="none" w:sz="0" w:space="0" w:color="auto"/>
        <w:bottom w:val="none" w:sz="0" w:space="0" w:color="auto"/>
        <w:right w:val="none" w:sz="0" w:space="0" w:color="auto"/>
      </w:divBdr>
    </w:div>
    <w:div w:id="1437092108">
      <w:bodyDiv w:val="1"/>
      <w:marLeft w:val="0"/>
      <w:marRight w:val="0"/>
      <w:marTop w:val="0"/>
      <w:marBottom w:val="0"/>
      <w:divBdr>
        <w:top w:val="none" w:sz="0" w:space="0" w:color="auto"/>
        <w:left w:val="none" w:sz="0" w:space="0" w:color="auto"/>
        <w:bottom w:val="none" w:sz="0" w:space="0" w:color="auto"/>
        <w:right w:val="none" w:sz="0" w:space="0" w:color="auto"/>
      </w:divBdr>
    </w:div>
    <w:div w:id="1441143634">
      <w:bodyDiv w:val="1"/>
      <w:marLeft w:val="0"/>
      <w:marRight w:val="0"/>
      <w:marTop w:val="0"/>
      <w:marBottom w:val="0"/>
      <w:divBdr>
        <w:top w:val="none" w:sz="0" w:space="0" w:color="auto"/>
        <w:left w:val="none" w:sz="0" w:space="0" w:color="auto"/>
        <w:bottom w:val="none" w:sz="0" w:space="0" w:color="auto"/>
        <w:right w:val="none" w:sz="0" w:space="0" w:color="auto"/>
      </w:divBdr>
      <w:divsChild>
        <w:div w:id="1843542666">
          <w:marLeft w:val="0"/>
          <w:marRight w:val="0"/>
          <w:marTop w:val="0"/>
          <w:marBottom w:val="0"/>
          <w:divBdr>
            <w:top w:val="none" w:sz="0" w:space="0" w:color="auto"/>
            <w:left w:val="none" w:sz="0" w:space="0" w:color="auto"/>
            <w:bottom w:val="none" w:sz="0" w:space="0" w:color="auto"/>
            <w:right w:val="none" w:sz="0" w:space="0" w:color="auto"/>
          </w:divBdr>
          <w:divsChild>
            <w:div w:id="1346904820">
              <w:marLeft w:val="0"/>
              <w:marRight w:val="0"/>
              <w:marTop w:val="0"/>
              <w:marBottom w:val="0"/>
              <w:divBdr>
                <w:top w:val="none" w:sz="0" w:space="0" w:color="auto"/>
                <w:left w:val="none" w:sz="0" w:space="0" w:color="auto"/>
                <w:bottom w:val="none" w:sz="0" w:space="0" w:color="auto"/>
                <w:right w:val="none" w:sz="0" w:space="0" w:color="auto"/>
              </w:divBdr>
              <w:divsChild>
                <w:div w:id="347023879">
                  <w:marLeft w:val="0"/>
                  <w:marRight w:val="0"/>
                  <w:marTop w:val="0"/>
                  <w:marBottom w:val="0"/>
                  <w:divBdr>
                    <w:top w:val="none" w:sz="0" w:space="0" w:color="auto"/>
                    <w:left w:val="none" w:sz="0" w:space="0" w:color="auto"/>
                    <w:bottom w:val="none" w:sz="0" w:space="0" w:color="auto"/>
                    <w:right w:val="none" w:sz="0" w:space="0" w:color="auto"/>
                  </w:divBdr>
                  <w:divsChild>
                    <w:div w:id="570386897">
                      <w:marLeft w:val="0"/>
                      <w:marRight w:val="0"/>
                      <w:marTop w:val="0"/>
                      <w:marBottom w:val="0"/>
                      <w:divBdr>
                        <w:top w:val="none" w:sz="0" w:space="0" w:color="auto"/>
                        <w:left w:val="none" w:sz="0" w:space="0" w:color="auto"/>
                        <w:bottom w:val="none" w:sz="0" w:space="0" w:color="auto"/>
                        <w:right w:val="none" w:sz="0" w:space="0" w:color="auto"/>
                      </w:divBdr>
                      <w:divsChild>
                        <w:div w:id="476648700">
                          <w:marLeft w:val="0"/>
                          <w:marRight w:val="0"/>
                          <w:marTop w:val="0"/>
                          <w:marBottom w:val="0"/>
                          <w:divBdr>
                            <w:top w:val="none" w:sz="0" w:space="0" w:color="auto"/>
                            <w:left w:val="none" w:sz="0" w:space="0" w:color="auto"/>
                            <w:bottom w:val="none" w:sz="0" w:space="0" w:color="auto"/>
                            <w:right w:val="none" w:sz="0" w:space="0" w:color="auto"/>
                          </w:divBdr>
                          <w:divsChild>
                            <w:div w:id="13174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1512</Words>
  <Characters>9543</Characters>
  <Application>Microsoft Office Word</Application>
  <DocSecurity>4</DocSecurity>
  <Lines>130</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Szruba</cp:lastModifiedBy>
  <cp:revision>2</cp:revision>
  <dcterms:created xsi:type="dcterms:W3CDTF">2024-12-02T13:17:00Z</dcterms:created>
  <dcterms:modified xsi:type="dcterms:W3CDTF">2024-12-02T13:17:00Z</dcterms:modified>
</cp:coreProperties>
</file>