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1336" w:rsidRDefault="00000000">
      <w:pPr>
        <w:pStyle w:val="Nagwek1"/>
      </w:pPr>
      <w:bookmarkStart w:id="0" w:name="header"/>
      <w:bookmarkEnd w:id="0"/>
      <w:r>
        <w:t>Czym różni się projekt kuchni za 100 000 od projektu za 10 000 i czy jest wart różnicy?</w:t>
      </w:r>
    </w:p>
    <w:p w:rsidR="00F31336" w:rsidRDefault="00000000">
      <w:pPr>
        <w:pStyle w:val="FirstParagraph"/>
      </w:pPr>
      <w:r>
        <w:t xml:space="preserve">Nie chodzi tylko o luksusowe materiały, lecz o </w:t>
      </w:r>
      <w:r>
        <w:rPr>
          <w:b/>
          <w:bCs/>
        </w:rPr>
        <w:t>przemyślaną ergonomię i funkcjonalność</w:t>
      </w:r>
      <w:r>
        <w:t xml:space="preserve">. Droższy projekt to kuchnia szyta na miarę Twojego życia – od dopasowanego do wzrostu układu sprzętów po indywidualne rozwiązania logistyczne i designerskie detale. W praktyce oznacza to m.in. unikalny układ ciągów roboczych, inteligentne systemy przechowywania i oświetlenia oraz najwyższej klasy okucia. Klienci marek </w:t>
      </w:r>
      <w:proofErr w:type="spellStart"/>
      <w:r>
        <w:t>premium</w:t>
      </w:r>
      <w:proofErr w:type="spellEnd"/>
      <w:r>
        <w:t xml:space="preserve"> często mówią, że pozornie subtelne elementy (jak ciche domykanie szuflad czy idealnie wykonane fronty) znaczą więcej niż się wydaje – to one decydują o komforcie codziennego użytkowania kuchni przez lata.</w:t>
      </w:r>
    </w:p>
    <w:p w:rsidR="00F31336" w:rsidRDefault="00000000">
      <w:pPr>
        <w:pStyle w:val="Nagwek2"/>
      </w:pPr>
      <w:r>
        <w:t>Ergonomia ponad wszystko</w:t>
      </w:r>
    </w:p>
    <w:p w:rsidR="00F31336" w:rsidRDefault="00000000">
      <w:pPr>
        <w:pStyle w:val="FirstParagraph"/>
      </w:pPr>
      <w:r>
        <w:t xml:space="preserve">W kuchni ergonomia przekłada się na zdrowie i oszczędność czasu. Według ekspertów, prawidłowo zaprojektowana kuchnia nie tylko ułatwia przygotowywanie posiłków, ale także chroni kręgosłup i stawy. Rozwiązania takie jak zoptymalizowane trójkąty robocze (lodówka–zlew–płyta grzewcza) oraz odpowiednia wysokość blatów są kluczowe, by podczas gotowania nie pochylać się nadmiernie i nie pokonywać niepotrzebnych odległości. </w:t>
      </w:r>
    </w:p>
    <w:p w:rsidR="00F31336" w:rsidRDefault="00000000">
      <w:pPr>
        <w:pStyle w:val="Tekstblokowy"/>
      </w:pPr>
      <w:r>
        <w:t xml:space="preserve">– W naszych projektach nie ma gotowych schematów. </w:t>
      </w:r>
      <w:r>
        <w:rPr>
          <w:b/>
          <w:bCs/>
        </w:rPr>
        <w:t>Każdy klient ma unikatowe potrzeby i wizję</w:t>
      </w:r>
      <w:r>
        <w:t>, dlatego każda realizacja jest wyjątkowa – od układu zabudowy, przez oświetlenie, aż po drobne detale, które dbają o ergonomię pracy w kuchni – wyjaśnia Piotr Kaczmarek, Dyrektor ds. Strategii Inwestycyjnych i Projektów w Halupczok.</w:t>
      </w:r>
    </w:p>
    <w:p w:rsidR="00F31336" w:rsidRDefault="00000000">
      <w:pPr>
        <w:pStyle w:val="FirstParagraph"/>
      </w:pPr>
      <w:r>
        <w:t xml:space="preserve">W praktyce więc droższy projekt kuchni bierze pod uwagę </w:t>
      </w:r>
      <w:r>
        <w:rPr>
          <w:b/>
          <w:bCs/>
        </w:rPr>
        <w:t>indywidualne cechy</w:t>
      </w:r>
      <w:r>
        <w:t xml:space="preserve"> domowników i ich zwyczaje. Na przykład górne szafki mogą być otwierane elektrycznie, by osoba niskiego wzrostu mogła wyciągnąć bez trudu naczynia, a ukryte, wysuwane półki (np. cargo w narożnikach) pozwalają wygodnie sięgać po akcesoria. W przeciwieństwie do gotowych, modułowych mebli, kuchnie </w:t>
      </w:r>
      <w:proofErr w:type="spellStart"/>
      <w:r>
        <w:t>premium</w:t>
      </w:r>
      <w:proofErr w:type="spellEnd"/>
      <w:r>
        <w:t xml:space="preserve"> na wymiar pozwalają idealnie wykorzystać każdy centymetr – dzięki temu gotowanie jest szybsze, a sprzątanie prostsze.  </w:t>
      </w:r>
    </w:p>
    <w:p w:rsidR="00F31336" w:rsidRDefault="00000000">
      <w:pPr>
        <w:pStyle w:val="FirstParagraph"/>
      </w:pPr>
      <w:r>
        <w:t xml:space="preserve">Dla osób ceniących estetykę ważna jest również </w:t>
      </w:r>
      <w:r>
        <w:rPr>
          <w:b/>
          <w:bCs/>
        </w:rPr>
        <w:t>uporządkowana organizacja przestrzeni</w:t>
      </w:r>
      <w:r>
        <w:t xml:space="preserve">. Przykładowo, kuchnia w stylu </w:t>
      </w:r>
      <w:proofErr w:type="spellStart"/>
      <w:r>
        <w:rPr>
          <w:i/>
          <w:iCs/>
        </w:rPr>
        <w:t>invisible</w:t>
      </w:r>
      <w:proofErr w:type="spellEnd"/>
      <w:r>
        <w:t xml:space="preserve"> umożliwia ukrycie drobnych sprzętów kuchennych za przesuwnymi panelami (bez widocznych uchwytów mebli, a fronty zamykają się lekko i cicho). Takie subtelne detale, obecne w projektach </w:t>
      </w:r>
      <w:proofErr w:type="spellStart"/>
      <w:r>
        <w:t>premium</w:t>
      </w:r>
      <w:proofErr w:type="spellEnd"/>
      <w:r>
        <w:t>, sprawiają, że kuchnia jest nie tylko piękna, ale i przyjazna w codziennym użytkowaniu.</w:t>
      </w:r>
    </w:p>
    <w:p w:rsidR="00F31336" w:rsidRDefault="00000000">
      <w:pPr>
        <w:pStyle w:val="Nagwek2"/>
      </w:pPr>
      <w:bookmarkStart w:id="1" w:name="ergonomia-ponad-wszystko"/>
      <w:bookmarkEnd w:id="1"/>
      <w:r>
        <w:t>Dopasowana do Twojego stylu życia</w:t>
      </w:r>
    </w:p>
    <w:p w:rsidR="00F31336" w:rsidRDefault="00000000">
      <w:pPr>
        <w:pStyle w:val="FirstParagraph"/>
      </w:pPr>
      <w:r>
        <w:t xml:space="preserve">Cena projektu za 100 tys. zł uwzględnia zatem </w:t>
      </w:r>
      <w:r>
        <w:rPr>
          <w:b/>
          <w:bCs/>
        </w:rPr>
        <w:t>indywidualne podejście</w:t>
      </w:r>
      <w:r>
        <w:t xml:space="preserve"> – kuchnia powstaje zgodnie z unikalnym trybem życia domowników. W tańszych aranżacjach spotkamy typowe </w:t>
      </w:r>
      <w:r>
        <w:lastRenderedPageBreak/>
        <w:t xml:space="preserve">układy z minimalnym wyborem modułów, zaś luksusowe projekty przewidują wszystko: oddzielne strefy (np. kącik śniadaniowy czy przestrzeń do kawy), duże wyspy jako stoły rodzinne, czy rozwiązania sprzyjające gotowaniu dla gości. Warto podkreślić, że usługi </w:t>
      </w:r>
      <w:proofErr w:type="spellStart"/>
      <w:r>
        <w:t>premium</w:t>
      </w:r>
      <w:proofErr w:type="spellEnd"/>
      <w:r>
        <w:t xml:space="preserve"> przewidują także konsultacje i wizyty u klienta – architekt czy doradca dopyta o ulubiony styl kuchni, nawyki kulinarne, liczbę użytkowników, co pozwala skrupulatnie dopasować projekt.</w:t>
      </w:r>
    </w:p>
    <w:p w:rsidR="00F31336" w:rsidRDefault="00000000">
      <w:pPr>
        <w:pStyle w:val="Compact"/>
      </w:pPr>
      <w:r>
        <w:t xml:space="preserve">Projektanci mebli </w:t>
      </w:r>
      <w:proofErr w:type="spellStart"/>
      <w:r>
        <w:t>premium</w:t>
      </w:r>
      <w:proofErr w:type="spellEnd"/>
      <w:r>
        <w:t xml:space="preserve"> wiedzą, że kuchnia często łączy się z salonem – integrują więc spójne oświetlenie, podłogę czy wykończenie ścian</w:t>
      </w:r>
      <w:r w:rsidRPr="00E226DE">
        <w:t>,</w:t>
      </w:r>
      <w:r>
        <w:rPr>
          <w:b/>
          <w:bCs/>
        </w:rPr>
        <w:t xml:space="preserve"> by kuchnia płynnie wpisywała się w styl całego domu</w:t>
      </w:r>
      <w:r>
        <w:t xml:space="preserve">. Proponują przy tym nowoczesne funkcje – schowane panele sterujące, </w:t>
      </w:r>
      <w:proofErr w:type="spellStart"/>
      <w:r>
        <w:t>podblatowe</w:t>
      </w:r>
      <w:proofErr w:type="spellEnd"/>
      <w:r>
        <w:t xml:space="preserve"> płyty indukcyjne, zdalnie sterowane AGD (inteligentne lodówki czy ekspresy) oraz oświetlenie LED z regulacją barwy. Dzięki temu kuchnia “myśli” razem z użytkownikiem i dodatkowo zyskuje na prestiżu.</w:t>
      </w:r>
    </w:p>
    <w:p w:rsidR="00F31336" w:rsidRDefault="00000000">
      <w:pPr>
        <w:pStyle w:val="Nagwek2"/>
      </w:pPr>
      <w:bookmarkStart w:id="2" w:name="dopasowana-do-twojego-stylu-życia"/>
      <w:bookmarkEnd w:id="2"/>
      <w:r>
        <w:t>Jakość wykonania i trwałość</w:t>
      </w:r>
    </w:p>
    <w:p w:rsidR="00F31336" w:rsidRDefault="00000000">
      <w:pPr>
        <w:pStyle w:val="FirstParagraph"/>
      </w:pPr>
      <w:r>
        <w:t>Różnica 100 tys. vs 10 tys. zł bardzo wyraźnie objawia się w jakości materiałów i precyzji wykonania. W projekcie za sto tysięcy wybierane są materiały o lepszych parametrach (MDF o wysokiej gęstości, egzotyczne drewno lub naturalne forniry), droższe blaty (kamienne czy spiek kwarcowy) oraz wysokiej klasy sprzęt AGD. Dzięki temu meble zachowują piękny wygląd nawet przez 15–20 lat użytkowania – co znacznie przewyższa trwałość tańszych zestawów (ok. 5–7 lat). W praktyce oznacza to, że nawet po latach kuchnia wciąż wygląda jak nowa</w:t>
      </w:r>
      <w:r w:rsidR="00E226DE">
        <w:t>.</w:t>
      </w:r>
    </w:p>
    <w:p w:rsidR="00F31336" w:rsidRDefault="00000000">
      <w:pPr>
        <w:pStyle w:val="Compact"/>
      </w:pPr>
      <w:r>
        <w:t xml:space="preserve">Eksperci marek </w:t>
      </w:r>
      <w:proofErr w:type="spellStart"/>
      <w:r>
        <w:t>premium</w:t>
      </w:r>
      <w:proofErr w:type="spellEnd"/>
      <w:r>
        <w:t xml:space="preserve"> gwarantują, że w ich projektach elementy składowe są tak dokładnie wykonane, że kuchnia w montażu „pasuje co do milimetra”. To przekłada się na idealnie wykonane blaty i równe szczeliny między frontami – detale, które decydują o wizualnym efekcie końcowym. </w:t>
      </w:r>
    </w:p>
    <w:p w:rsidR="00F31336" w:rsidRDefault="00000000">
      <w:pPr>
        <w:pStyle w:val="Tekstblokowy"/>
        <w:ind w:left="0"/>
        <w:rPr>
          <w:color w:val="156082" w:themeColor="accent1"/>
        </w:rPr>
      </w:pPr>
      <w:r>
        <w:t xml:space="preserve">Choć wyższa cena może wydawać się dużym wydatkiem „na starcie”, droższa kuchnia przekłada się na realne oszczędności w dłuższej perspektywie. Tańsze meble będą wymagać wcześniej naprawy lub wymiany. Z kolei wysoka jakość materiałów i elementów </w:t>
      </w:r>
      <w:proofErr w:type="spellStart"/>
      <w:r>
        <w:t>premium</w:t>
      </w:r>
      <w:proofErr w:type="spellEnd"/>
      <w:r>
        <w:t xml:space="preserve"> gwarantuje, że inwestycja zwróci się z nawiązką – kuchnia posłuży nawet 2–3 razy dłużej. Dobrym przykładem są blaty kuchenne: spiek kwarcowy czy granit mogą kosztować nawet kilkakrotni</w:t>
      </w:r>
      <w:r w:rsidR="00E226DE">
        <w:t>e</w:t>
      </w:r>
      <w:r>
        <w:t xml:space="preserve"> więcej niż blat laminowany, ale w porównaniu do zwykłego laminatu odwdzięczają się wysoką odpornością na rysy i temperaturę, a także oryginalnym i nietuzinkowym wyglądem. </w:t>
      </w:r>
    </w:p>
    <w:p w:rsidR="00F31336" w:rsidRDefault="00000000">
      <w:pPr>
        <w:pStyle w:val="Nagwek2"/>
      </w:pPr>
      <w:bookmarkStart w:id="3" w:name="jakość-wykonania-i-trwałość"/>
      <w:bookmarkEnd w:id="3"/>
      <w:r>
        <w:t>Detale, które robią różnicę</w:t>
      </w:r>
    </w:p>
    <w:p w:rsidR="00F31336" w:rsidRDefault="00000000">
      <w:pPr>
        <w:pStyle w:val="FirstParagraph"/>
      </w:pPr>
      <w:r>
        <w:t xml:space="preserve">Luksusowe realizacje składają się z setek drobnych udogodnień. Na przykład </w:t>
      </w:r>
      <w:r>
        <w:rPr>
          <w:b/>
          <w:bCs/>
        </w:rPr>
        <w:t>system cichego domykania</w:t>
      </w:r>
      <w:r>
        <w:t xml:space="preserve"> sprawia, że fronty szuflad i szafek zamykają się miękko i bezgłośnie, co naprawdę podnosi komfort – zwłaszcza w otwartej kuchni połączonej z salonem. Z kolei odpowiednio zaprojektowane oświetlenie</w:t>
      </w:r>
      <w:r>
        <w:rPr>
          <w:i/>
          <w:iCs/>
        </w:rPr>
        <w:t xml:space="preserve"> </w:t>
      </w:r>
      <w:r>
        <w:t>(</w:t>
      </w:r>
      <w:proofErr w:type="spellStart"/>
      <w:r>
        <w:t>podszafkowe</w:t>
      </w:r>
      <w:proofErr w:type="spellEnd"/>
      <w:r>
        <w:t xml:space="preserve"> listwy LED, światło punktowe nad blatem, regulowane barwy światła) zapewnia idealne warunki do przygotowywania jedzenia </w:t>
      </w:r>
      <w:r>
        <w:lastRenderedPageBreak/>
        <w:t>i wieczornych spotkań. Jak zauważają architekci wnętrz, dobrze dobrane lampy poprawiają nie tylko samopoczucie domowników, ale także komfort życia i pracy.</w:t>
      </w:r>
    </w:p>
    <w:p w:rsidR="00F31336" w:rsidRDefault="00000000">
      <w:pPr>
        <w:pStyle w:val="Tekstpodstawowy"/>
      </w:pPr>
      <w:r>
        <w:t xml:space="preserve">Dodatkowo kuchnie </w:t>
      </w:r>
      <w:proofErr w:type="spellStart"/>
      <w:r>
        <w:t>premium</w:t>
      </w:r>
      <w:proofErr w:type="spellEnd"/>
      <w:r>
        <w:t xml:space="preserve"> wyposażone są w </w:t>
      </w:r>
      <w:r>
        <w:rPr>
          <w:b/>
          <w:bCs/>
        </w:rPr>
        <w:t>inteligentne AGD</w:t>
      </w:r>
      <w:r>
        <w:t xml:space="preserve"> – piekarniki z funkcją </w:t>
      </w:r>
      <w:proofErr w:type="spellStart"/>
      <w:r>
        <w:t>self-clean</w:t>
      </w:r>
      <w:proofErr w:type="spellEnd"/>
      <w:r>
        <w:t xml:space="preserve">, lodówki sterowane aplikacją czy ciche, energooszczędne okapy. To inwestycja w wygodę: nowoczesne urządzenia realizują codzienne zadania automatycznie (np. piekąc w programie dokładnie dobranym do potrawy) i mogą być sterowane zdalnie, co usprawnia pracę. Trendy 2025 mówią wprost: inteligentne urządzenia kuchenne to nie tylko wygoda, ale też nowoczesny styl, a kuchnia staje się częścią smart </w:t>
      </w:r>
      <w:proofErr w:type="spellStart"/>
      <w:r>
        <w:t>home</w:t>
      </w:r>
      <w:proofErr w:type="spellEnd"/>
      <w:r>
        <w:t>.</w:t>
      </w:r>
    </w:p>
    <w:p w:rsidR="00F31336" w:rsidRDefault="00000000">
      <w:pPr>
        <w:pStyle w:val="Tekstpodstawowy"/>
      </w:pPr>
      <w:r>
        <w:t>W praktyce listę takich detali można by mnożyć. Projekt za 100 tys. zł uwzględni każdy z nich –</w:t>
      </w:r>
      <w:r w:rsidR="00E226DE">
        <w:t xml:space="preserve"> </w:t>
      </w:r>
      <w:r>
        <w:t>od perfekcyjnie przemyślanego układu funkcjonalnego kuchni</w:t>
      </w:r>
      <w:r w:rsidR="00E226DE">
        <w:t>,</w:t>
      </w:r>
      <w:r>
        <w:t xml:space="preserve"> po akcesoria wewnętrzne (segregatory, uchwyty na pokrywki, wysuwane półki na garnki), które poprawiają ergonomię. Wszystko to składa się na </w:t>
      </w:r>
      <w:r>
        <w:rPr>
          <w:b/>
          <w:bCs/>
        </w:rPr>
        <w:t>efekt bezkompromisowej wygody</w:t>
      </w:r>
      <w:r>
        <w:t>.</w:t>
      </w:r>
    </w:p>
    <w:p w:rsidR="00F31336" w:rsidRDefault="00000000">
      <w:pPr>
        <w:pStyle w:val="Nagwek2"/>
      </w:pPr>
      <w:bookmarkStart w:id="4" w:name="detale-które-robią-różnicę"/>
      <w:bookmarkEnd w:id="4"/>
      <w:r>
        <w:t>Inwestycja na lata</w:t>
      </w:r>
    </w:p>
    <w:p w:rsidR="00F31336" w:rsidRDefault="00000000">
      <w:pPr>
        <w:pStyle w:val="FirstParagraph"/>
      </w:pPr>
      <w:r>
        <w:t xml:space="preserve">Podsumowując: różnica między 100 a 10 tys. zł wynika z całościowego podejścia do projektu. Większy budżet pozwala myśleć o kuchni w kategoriach </w:t>
      </w:r>
      <w:r>
        <w:rPr>
          <w:i/>
          <w:iCs/>
        </w:rPr>
        <w:t>inwestycji</w:t>
      </w:r>
      <w:r>
        <w:t xml:space="preserve">, nie wydatku. Profesjonalna realizacja podnosi wartość mieszkania – dobrze zaprojektowana i wykonana kuchnia może znacząco zwiększyć atrakcyjność nieruchomości czy wzrost ceny za m² przy sprzedaży. Dodatkowo, jak podkreślają eksperci, budżetowy projekt szybko ujawnia swoje ograniczenia – po kilku latach może być przestarzały lub zużyty, a wymiana mebli oznacza ponowny duży wydatek. W przeciwieństwie do tego, meble </w:t>
      </w:r>
      <w:proofErr w:type="spellStart"/>
      <w:r>
        <w:t>premium</w:t>
      </w:r>
      <w:proofErr w:type="spellEnd"/>
      <w:r>
        <w:t xml:space="preserve"> służą latami, dzięki czemu roczny koszt ich używania jest często niższy niż w przypadku ich tańszego odpowiednika.</w:t>
      </w:r>
    </w:p>
    <w:p w:rsidR="00F31336" w:rsidRDefault="00000000">
      <w:pPr>
        <w:pStyle w:val="Tekstblokowy"/>
      </w:pPr>
      <w:r>
        <w:t>– Ostatecznie droższy projekt kuchni to nie tylko ozdoba domu, ale przede wszystkim inwestycja w codzienny komfort i bezawaryjne użytkowanie na lata. W Halupczok patrzymy na kuchnię jak na żywy organizm: jeśli każdy element jest przemyślany, całość działa harmonijnie przez dziesięciolecia – konkluduje Piotr Kaczmarek z Halupczok.</w:t>
      </w:r>
    </w:p>
    <w:p w:rsidR="00F31336" w:rsidRDefault="00000000">
      <w:pPr>
        <w:pStyle w:val="FirstParagraph"/>
      </w:pPr>
      <w:r>
        <w:t xml:space="preserve">Jak widać, różnica między projektem za 100 000 a 10 000 zł nie dotyczy samych materiałów. Droższa kuchnia oferuje spokój ducha i zadowolenie z codziennego użytkowania – dzięki ergonomii, unikatowym rozwiązaniom i solidnemu wykonaniu. To właśnie te niuanse sprawiają, że kuchnia </w:t>
      </w:r>
      <w:proofErr w:type="spellStart"/>
      <w:r>
        <w:t>premium</w:t>
      </w:r>
      <w:proofErr w:type="spellEnd"/>
      <w:r>
        <w:t xml:space="preserve"> staje się wartą swej ceny inwestycją na lata.</w:t>
      </w:r>
    </w:p>
    <w:p w:rsidR="00F31336" w:rsidRDefault="00F31336">
      <w:pPr>
        <w:pStyle w:val="Tekstpodstawowy"/>
      </w:pPr>
      <w:bookmarkStart w:id="5" w:name="content"/>
      <w:bookmarkStart w:id="6" w:name="X1d2a1391ccf11e1c82644d7fc822e8934d20383"/>
      <w:bookmarkStart w:id="7" w:name="inwestycja-na-lata"/>
      <w:bookmarkEnd w:id="5"/>
      <w:bookmarkEnd w:id="6"/>
      <w:bookmarkEnd w:id="7"/>
    </w:p>
    <w:sectPr w:rsidR="00F31336">
      <w:pgSz w:w="12240" w:h="15840"/>
      <w:pgMar w:top="1417" w:right="1417" w:bottom="1417" w:left="1417" w:header="0" w:footer="0" w:gutter="0"/>
      <w:cols w:space="708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3"/>
  <w:embedSystemFonts/>
  <w:proofState w:spelling="clean" w:grammar="clean"/>
  <w:trackRevisions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336"/>
    <w:rsid w:val="00742EAA"/>
    <w:rsid w:val="00E226DE"/>
    <w:rsid w:val="00F31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EE5043F"/>
  <w15:docId w15:val="{0D55FA42-2AE3-9B42-9D6A-E4A97143B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pacing w:after="200"/>
    </w:pPr>
  </w:style>
  <w:style w:type="paragraph" w:styleId="Nagwek1">
    <w:name w:val="heading 1"/>
    <w:basedOn w:val="Normalny"/>
    <w:next w:val="Tekstpodstawowy"/>
    <w:link w:val="Nagwek1Znak"/>
    <w:uiPriority w:val="9"/>
    <w:qFormat/>
    <w:rsid w:val="00A10F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Tekstpodstawowy"/>
    <w:link w:val="Nagwek2Znak"/>
    <w:uiPriority w:val="9"/>
    <w:semiHidden/>
    <w:unhideWhenUsed/>
    <w:qFormat/>
    <w:rsid w:val="00A10F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Tekstpodstawowy"/>
    <w:link w:val="Nagwek3Znak"/>
    <w:uiPriority w:val="9"/>
    <w:semiHidden/>
    <w:unhideWhenUsed/>
    <w:qFormat/>
    <w:rsid w:val="00A10F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Tekstpodstawowy"/>
    <w:link w:val="Nagwek4Znak"/>
    <w:uiPriority w:val="9"/>
    <w:semiHidden/>
    <w:unhideWhenUsed/>
    <w:qFormat/>
    <w:rsid w:val="00A10F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A10F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A10FD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Tekstpodstawowy"/>
    <w:link w:val="Nagwek7Znak"/>
    <w:uiPriority w:val="9"/>
    <w:semiHidden/>
    <w:unhideWhenUsed/>
    <w:qFormat/>
    <w:rsid w:val="00A10FD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Tekstpodstawowy"/>
    <w:link w:val="Nagwek8Znak"/>
    <w:uiPriority w:val="9"/>
    <w:semiHidden/>
    <w:unhideWhenUsed/>
    <w:qFormat/>
    <w:rsid w:val="00A10FD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Tekstpodstawowy"/>
    <w:link w:val="Nagwek9Znak"/>
    <w:uiPriority w:val="9"/>
    <w:semiHidden/>
    <w:unhideWhenUsed/>
    <w:qFormat/>
    <w:rsid w:val="00A10FD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uiPriority w:val="10"/>
    <w:qFormat/>
    <w:rsid w:val="00A10FD9"/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A10F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A10F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A10F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A10F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A10FD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A10FD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A10FD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A10FD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A10FD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A10FD9"/>
    <w:rPr>
      <w:rFonts w:eastAsiaTheme="majorEastAsia" w:cstheme="majorBidi"/>
      <w:color w:val="272727" w:themeColor="text1" w:themeTint="D8"/>
    </w:rPr>
  </w:style>
  <w:style w:type="character" w:customStyle="1" w:styleId="LegendaZnak">
    <w:name w:val="Legenda Znak"/>
    <w:basedOn w:val="Domylnaczcionkaakapitu"/>
    <w:link w:val="Legenda"/>
    <w:qFormat/>
  </w:style>
  <w:style w:type="character" w:customStyle="1" w:styleId="VerbatimChar">
    <w:name w:val="Verbatim Char"/>
    <w:basedOn w:val="LegendaZnak"/>
    <w:link w:val="SourceCode"/>
    <w:qFormat/>
    <w:rPr>
      <w:rFonts w:ascii="Consolas" w:hAnsi="Consolas"/>
      <w:sz w:val="22"/>
    </w:rPr>
  </w:style>
  <w:style w:type="character" w:customStyle="1" w:styleId="SectionNumber">
    <w:name w:val="Section Number"/>
    <w:basedOn w:val="LegendaZnak"/>
    <w:qFormat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LegendaZnak"/>
    <w:qFormat/>
    <w:rPr>
      <w:vertAlign w:val="superscript"/>
    </w:rPr>
  </w:style>
  <w:style w:type="character" w:customStyle="1" w:styleId="czeinternetowe">
    <w:name w:val="Łącze internetowe"/>
    <w:basedOn w:val="LegendaZnak"/>
    <w:rPr>
      <w:color w:val="156082" w:themeColor="accent1"/>
    </w:rPr>
  </w:style>
  <w:style w:type="character" w:customStyle="1" w:styleId="KeywordTok">
    <w:name w:val="Keyword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qFormat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qFormat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qFormat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qFormat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qFormat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qFormat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qFormat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qFormat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qFormat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qFormat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qFormat/>
    <w:rPr>
      <w:rFonts w:ascii="Consolas" w:hAnsi="Consolas"/>
      <w:b/>
      <w:color w:val="008000"/>
      <w:sz w:val="22"/>
    </w:rPr>
  </w:style>
  <w:style w:type="character" w:customStyle="1" w:styleId="CommentTok">
    <w:name w:val="CommentTok"/>
    <w:basedOn w:val="VerbatimChar"/>
    <w:qFormat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qFormat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qFormat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qFormat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qFormat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qFormat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qFormat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qFormat/>
    <w:rPr>
      <w:rFonts w:ascii="Consolas" w:hAnsi="Consolas"/>
      <w:color w:val="008000"/>
      <w:sz w:val="22"/>
    </w:rPr>
  </w:style>
  <w:style w:type="character" w:customStyle="1" w:styleId="ExtensionTok">
    <w:name w:val="ExtensionTok"/>
    <w:basedOn w:val="VerbatimChar"/>
    <w:qFormat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qFormat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qFormat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qFormat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qFormat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qFormat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qFormat/>
    <w:rPr>
      <w:rFonts w:ascii="Consolas" w:hAnsi="Consolas"/>
      <w:sz w:val="22"/>
    </w:rPr>
  </w:style>
  <w:style w:type="character" w:customStyle="1" w:styleId="Odwiedzoneczeinternetowe">
    <w:name w:val="Odwiedzone łącze internetowe"/>
    <w:basedOn w:val="Domylnaczcionkaakapitu"/>
    <w:rsid w:val="00DD186B"/>
    <w:rPr>
      <w:color w:val="96607D" w:themeColor="followedHyperlink"/>
      <w:u w:val="single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qFormat/>
    <w:pPr>
      <w:spacing w:before="180" w:after="18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link w:val="LegendaZnak"/>
    <w:qFormat/>
    <w:pPr>
      <w:spacing w:after="120"/>
    </w:pPr>
    <w:rPr>
      <w:i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FirstParagraph">
    <w:name w:val="First Paragraph"/>
    <w:basedOn w:val="Tekstpodstawowy"/>
    <w:next w:val="Tekstpodstawowy"/>
    <w:qFormat/>
  </w:style>
  <w:style w:type="paragraph" w:customStyle="1" w:styleId="Compact">
    <w:name w:val="Compact"/>
    <w:basedOn w:val="Tekstpodstawowy"/>
    <w:qFormat/>
    <w:pPr>
      <w:spacing w:before="36" w:after="36"/>
    </w:pPr>
  </w:style>
  <w:style w:type="paragraph" w:styleId="Tytu">
    <w:name w:val="Title"/>
    <w:basedOn w:val="Normalny"/>
    <w:next w:val="Tekstpodstawowy"/>
    <w:link w:val="TytuZnak"/>
    <w:uiPriority w:val="10"/>
    <w:qFormat/>
    <w:rsid w:val="00A10FD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"/>
      <w:sz w:val="56"/>
      <w:szCs w:val="56"/>
    </w:rPr>
  </w:style>
  <w:style w:type="paragraph" w:styleId="Podtytu">
    <w:name w:val="Subtitle"/>
    <w:basedOn w:val="Tytu"/>
    <w:next w:val="Tekstpodstawowy"/>
    <w:link w:val="PodtytuZnak"/>
    <w:uiPriority w:val="11"/>
    <w:qFormat/>
    <w:rsid w:val="00A10FD9"/>
    <w:rPr>
      <w:spacing w:val="15"/>
      <w:sz w:val="28"/>
      <w:szCs w:val="28"/>
    </w:rPr>
  </w:style>
  <w:style w:type="paragraph" w:customStyle="1" w:styleId="Author">
    <w:name w:val="Author"/>
    <w:next w:val="Tekstpodstawowy"/>
    <w:qFormat/>
    <w:pPr>
      <w:keepNext/>
      <w:keepLines/>
      <w:spacing w:after="200"/>
      <w:jc w:val="center"/>
    </w:pPr>
  </w:style>
  <w:style w:type="paragraph" w:styleId="Data">
    <w:name w:val="Date"/>
    <w:next w:val="Tekstpodstawowy"/>
    <w:qFormat/>
    <w:pPr>
      <w:keepNext/>
      <w:keepLines/>
      <w:spacing w:after="200"/>
      <w:jc w:val="center"/>
    </w:pPr>
  </w:style>
  <w:style w:type="paragraph" w:customStyle="1" w:styleId="AbstractTitle">
    <w:name w:val="Abstract Title"/>
    <w:basedOn w:val="Normalny"/>
    <w:next w:val="Abstract"/>
    <w:qFormat/>
    <w:pPr>
      <w:keepNext/>
      <w:keepLines/>
      <w:spacing w:before="300" w:after="0"/>
      <w:jc w:val="center"/>
    </w:pPr>
    <w:rPr>
      <w:b/>
      <w:sz w:val="20"/>
      <w:szCs w:val="20"/>
    </w:rPr>
  </w:style>
  <w:style w:type="paragraph" w:customStyle="1" w:styleId="Abstract">
    <w:name w:val="Abstract"/>
    <w:basedOn w:val="Normalny"/>
    <w:next w:val="Tekstpodstawowy"/>
    <w:qFormat/>
    <w:pPr>
      <w:keepNext/>
      <w:keepLines/>
      <w:spacing w:before="100" w:after="300"/>
    </w:pPr>
    <w:rPr>
      <w:sz w:val="20"/>
      <w:szCs w:val="20"/>
    </w:rPr>
  </w:style>
  <w:style w:type="paragraph" w:styleId="Bibliografia">
    <w:name w:val="Bibliography"/>
    <w:basedOn w:val="Normalny"/>
    <w:qFormat/>
  </w:style>
  <w:style w:type="paragraph" w:styleId="Tekstblokowy">
    <w:name w:val="Block Text"/>
    <w:basedOn w:val="Tekstpodstawowy"/>
    <w:next w:val="Tekstpodstawowy"/>
    <w:uiPriority w:val="9"/>
    <w:unhideWhenUsed/>
    <w:qFormat/>
    <w:pPr>
      <w:spacing w:before="100" w:after="100"/>
      <w:ind w:left="480" w:right="480"/>
    </w:pPr>
  </w:style>
  <w:style w:type="paragraph" w:styleId="Tekstprzypisudolnego">
    <w:name w:val="footnote text"/>
    <w:basedOn w:val="Normalny"/>
    <w:uiPriority w:val="9"/>
    <w:unhideWhenUsed/>
    <w:qFormat/>
  </w:style>
  <w:style w:type="paragraph" w:customStyle="1" w:styleId="FootnoteBlockText">
    <w:name w:val="Footnote Block Text"/>
    <w:basedOn w:val="Tekstprzypisudolnego"/>
    <w:next w:val="Tekstprzypisudolnego"/>
    <w:uiPriority w:val="9"/>
    <w:unhideWhenUsed/>
    <w:qFormat/>
    <w:pPr>
      <w:spacing w:before="100" w:after="100"/>
      <w:ind w:left="480" w:right="480"/>
    </w:pPr>
  </w:style>
  <w:style w:type="paragraph" w:customStyle="1" w:styleId="DefinitionTerm">
    <w:name w:val="Definition Term"/>
    <w:basedOn w:val="Normalny"/>
    <w:next w:val="Definition"/>
    <w:qFormat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ny"/>
    <w:qFormat/>
  </w:style>
  <w:style w:type="paragraph" w:customStyle="1" w:styleId="TableCaption">
    <w:name w:val="Table Caption"/>
    <w:basedOn w:val="Legenda"/>
    <w:qFormat/>
    <w:pPr>
      <w:keepNext/>
    </w:pPr>
  </w:style>
  <w:style w:type="paragraph" w:customStyle="1" w:styleId="ImageCaption">
    <w:name w:val="Image Caption"/>
    <w:basedOn w:val="Legenda"/>
    <w:qFormat/>
  </w:style>
  <w:style w:type="paragraph" w:customStyle="1" w:styleId="Figura">
    <w:name w:val="Figura"/>
    <w:basedOn w:val="Normalny"/>
    <w:qFormat/>
  </w:style>
  <w:style w:type="paragraph" w:customStyle="1" w:styleId="CaptionedFigure">
    <w:name w:val="Captioned Figure"/>
    <w:basedOn w:val="Figura"/>
    <w:qFormat/>
    <w:pPr>
      <w:keepNext/>
    </w:pPr>
  </w:style>
  <w:style w:type="paragraph" w:styleId="Nagwekspisutreci">
    <w:name w:val="TOC Heading"/>
    <w:basedOn w:val="Nagwek1"/>
    <w:next w:val="Tekstpodstawowy"/>
    <w:uiPriority w:val="39"/>
    <w:unhideWhenUsed/>
    <w:qFormat/>
    <w:pPr>
      <w:spacing w:before="240" w:line="259" w:lineRule="auto"/>
    </w:pPr>
  </w:style>
  <w:style w:type="paragraph" w:customStyle="1" w:styleId="SourceCode">
    <w:name w:val="Source Code"/>
    <w:basedOn w:val="Normalny"/>
    <w:link w:val="VerbatimChar"/>
    <w:qFormat/>
  </w:style>
  <w:style w:type="table" w:customStyle="1" w:styleId="Table">
    <w:name w:val="Table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0" w:space="0" w:color="auto"/>
        </w:tcBorders>
        <w:vAlign w:val="bottom"/>
      </w:tcPr>
    </w:tblStylePr>
  </w:style>
  <w:style w:type="paragraph" w:styleId="Poprawka">
    <w:name w:val="Revision"/>
    <w:hidden/>
    <w:rsid w:val="00742EAA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1078</Words>
  <Characters>6676</Characters>
  <Application>Microsoft Office Word</Application>
  <DocSecurity>0</DocSecurity>
  <Lines>105</Lines>
  <Paragraphs>22</Paragraphs>
  <ScaleCrop>false</ScaleCrop>
  <Company/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Szruba</dc:creator>
  <dc:description/>
  <cp:lastModifiedBy>Maria Szruba</cp:lastModifiedBy>
  <cp:revision>3</cp:revision>
  <dcterms:created xsi:type="dcterms:W3CDTF">2025-11-03T05:32:00Z</dcterms:created>
  <dcterms:modified xsi:type="dcterms:W3CDTF">2025-11-03T05:35:00Z</dcterms:modified>
  <dc:language>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generator">
    <vt:lpwstr>ChatGPT Deep Research</vt:lpwstr>
  </property>
</Properties>
</file>