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8A16BD" w:rsidRPr="00E378BD" w:rsidRDefault="00000000">
      <w:pPr>
        <w:pStyle w:val="Nagwek3"/>
        <w:keepNext w:val="0"/>
        <w:keepLines w:val="0"/>
        <w:spacing w:before="280"/>
        <w:jc w:val="both"/>
        <w:rPr>
          <w:rFonts w:ascii="Montserrat" w:eastAsia="Montserrat" w:hAnsi="Montserrat" w:cs="Montserrat"/>
          <w:b/>
          <w:bCs/>
          <w:color w:val="000000"/>
          <w:sz w:val="26"/>
          <w:szCs w:val="26"/>
        </w:rPr>
      </w:pPr>
      <w:bookmarkStart w:id="0" w:name="_69tkfokh5kp7" w:colFirst="0" w:colLast="0"/>
      <w:bookmarkEnd w:id="0"/>
      <w:r w:rsidRPr="00E378BD">
        <w:rPr>
          <w:rFonts w:ascii="Montserrat" w:eastAsia="Montserrat" w:hAnsi="Montserrat" w:cs="Montserrat"/>
          <w:b/>
          <w:bCs/>
          <w:color w:val="000000"/>
          <w:sz w:val="26"/>
          <w:szCs w:val="26"/>
        </w:rPr>
        <w:t>Dzień Ziemi: proste zmiany w domu, które chronią środowisko i obniżają rachunki</w:t>
      </w:r>
    </w:p>
    <w:p w14:paraId="00000002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Większość decyzji, które obciążają środowisko, podejmujemy automatycznie. I właśnie dlatego tak trudno je zmienić. Włączamy światło, robimy zakupy, wyrzucamy jedzenie. Efekt? Polskie gospodarstwa domowe tracą nawet 3 tys. zł rocznie na marnowanej żywności oraz kolejne kilkaset złotych na niepotrzebnie zużywanej energii. Dzień Ziemi, który obchodzimy 22 kwietnia to dobry moment, żeby zobaczyć tę skalę i zidentyfikować miejsca, w których najprościej ograniczyć straty, zarówno dla środowiska, jak i domowego budżetu.</w:t>
      </w:r>
    </w:p>
    <w:p w14:paraId="00000003" w14:textId="77777777" w:rsidR="008A16BD" w:rsidRPr="00E378BD" w:rsidRDefault="00000000">
      <w:pPr>
        <w:pStyle w:val="Nagwek3"/>
        <w:keepNext w:val="0"/>
        <w:keepLines w:val="0"/>
        <w:spacing w:before="280"/>
        <w:jc w:val="both"/>
        <w:rPr>
          <w:rFonts w:ascii="Montserrat" w:eastAsia="Montserrat" w:hAnsi="Montserrat" w:cs="Montserrat"/>
          <w:b/>
          <w:bCs/>
          <w:color w:val="000000"/>
          <w:sz w:val="26"/>
          <w:szCs w:val="26"/>
        </w:rPr>
      </w:pPr>
      <w:bookmarkStart w:id="1" w:name="_cgd0zzw47mbc" w:colFirst="0" w:colLast="0"/>
      <w:bookmarkEnd w:id="1"/>
      <w:r w:rsidRPr="00E378BD">
        <w:rPr>
          <w:rFonts w:ascii="Montserrat" w:eastAsia="Montserrat" w:hAnsi="Montserrat" w:cs="Montserrat"/>
          <w:b/>
          <w:bCs/>
          <w:color w:val="000000"/>
          <w:sz w:val="26"/>
          <w:szCs w:val="26"/>
        </w:rPr>
        <w:t>Codzienność, która ma znaczenie</w:t>
      </w:r>
    </w:p>
    <w:p w14:paraId="00000004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 xml:space="preserve">Z zasobów korzystamy każdego dnia – często automatycznie. Włączamy światło, używamy sprzętów, robimy zakupy, wyrzucamy odpady. Rzadko jednak zastanawiamy się, jak te decyzje wpływają na środowisko. </w:t>
      </w:r>
    </w:p>
    <w:p w14:paraId="00000005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 xml:space="preserve">– Wiele naszych działań ma charakter nawykowy. Nie zawsze łączymy codzienne czynności jak korzystanie z energii czy wody z ich realnym wpływem na otoczenie – mówi Justyna Barwińska, koordynatorka programu </w:t>
      </w:r>
      <w:proofErr w:type="spellStart"/>
      <w:r w:rsidRPr="00E378BD">
        <w:rPr>
          <w:rFonts w:ascii="Montserrat" w:eastAsia="Montserrat" w:hAnsi="Montserrat" w:cs="Montserrat"/>
          <w:sz w:val="24"/>
          <w:szCs w:val="24"/>
        </w:rPr>
        <w:t>MOCni</w:t>
      </w:r>
      <w:proofErr w:type="spellEnd"/>
      <w:r w:rsidRPr="00E378BD">
        <w:rPr>
          <w:rFonts w:ascii="Montserrat" w:eastAsia="Montserrat" w:hAnsi="Montserrat" w:cs="Montserrat"/>
          <w:sz w:val="24"/>
          <w:szCs w:val="24"/>
        </w:rPr>
        <w:t xml:space="preserve"> z natury, w ramach którego prowadzone są bezpłatne działania edukacyjne dla mieszkańców.</w:t>
      </w:r>
    </w:p>
    <w:p w14:paraId="00000006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Tymczasem skala jest znacząca. Gospodarstwa domowe odpowiadają dziś za ponad 20% zużycia energii w Polsce. To oznacza, że codzienne wybory   mają realny wpływ – zarówno na środowisko, jak i na domowy budżet. Podobnie jest z żywnością – według szacunków jej marnowanie może sięgać dziś nawet około 3 tys. zł rocznie w jednym gospodarstwie domowym.</w:t>
      </w:r>
    </w:p>
    <w:p w14:paraId="00000007" w14:textId="77777777" w:rsidR="008A16BD" w:rsidRPr="00E378BD" w:rsidRDefault="00000000">
      <w:pPr>
        <w:pStyle w:val="Nagwek3"/>
        <w:keepNext w:val="0"/>
        <w:keepLines w:val="0"/>
        <w:spacing w:before="280"/>
        <w:jc w:val="both"/>
        <w:rPr>
          <w:rFonts w:ascii="Montserrat" w:eastAsia="Montserrat" w:hAnsi="Montserrat" w:cs="Montserrat"/>
          <w:b/>
          <w:bCs/>
          <w:color w:val="000000"/>
          <w:sz w:val="26"/>
          <w:szCs w:val="26"/>
        </w:rPr>
      </w:pPr>
      <w:bookmarkStart w:id="2" w:name="_1e5c3qtp1qly" w:colFirst="0" w:colLast="0"/>
      <w:bookmarkEnd w:id="2"/>
      <w:r w:rsidRPr="00E378BD">
        <w:rPr>
          <w:rFonts w:ascii="Montserrat" w:eastAsia="Montserrat" w:hAnsi="Montserrat" w:cs="Montserrat"/>
          <w:b/>
          <w:bCs/>
          <w:color w:val="000000"/>
          <w:sz w:val="26"/>
          <w:szCs w:val="26"/>
        </w:rPr>
        <w:t>Energia jako część większego obrazu</w:t>
      </w:r>
    </w:p>
    <w:p w14:paraId="00000008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Energia jest jednym z kluczowych elementów naszego wpływu na środowisko, ale nie jedynym. W podobny sposób działają decyzje dotyczące zużycia wody, ograniczania odpadów czy świadomej konsumpcji, w tym planowania zakupów i gospodarowania jedzeniem.</w:t>
      </w:r>
    </w:p>
    <w:p w14:paraId="00000009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i/>
          <w:iCs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Ekspertka zwraca uwagę, że znaczenie ma nie pojedyncze działanie, ale ich suma. –</w:t>
      </w:r>
      <w:r w:rsidRPr="00E378BD">
        <w:rPr>
          <w:rFonts w:ascii="Montserrat" w:eastAsia="Montserrat" w:hAnsi="Montserrat" w:cs="Montserrat"/>
          <w:i/>
          <w:iCs/>
          <w:sz w:val="24"/>
          <w:szCs w:val="24"/>
        </w:rPr>
        <w:t xml:space="preserve"> Świadomość środowiskowa to nie jedna decyzja, ale sposób myślenia, który obejmuje różne obszary codziennego życia – od energii, przez wodę, aż po nasze wybory zakupowe.</w:t>
      </w:r>
    </w:p>
    <w:p w14:paraId="0000000A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lastRenderedPageBreak/>
        <w:t>Jednocześnie konkretne przykłady pokazują, że zmiany nie muszą być skomplikowane. Lodówka, która działa przez całą dobę, może zużywać nawet 200–300 kWh rocznie. Jej właściwe ustawienie i prawidłowa eksploatacja – w tym regularne czyszczenie, a w starszych modelach także rozmrażanie – może przynieść oszczędność rzędu 50–100 zł w skali roku. Co istotne, to właśnie w kuchni kumulują się decyzje, które jednocześnie wpływają na zużycie energii i skalę marnowania żywności.</w:t>
      </w:r>
    </w:p>
    <w:p w14:paraId="0000000B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Podobnie wygląda sytuacja z urządzeniami pozostawionymi w trybie czuwania. Telewizory, ładowarki czy sprzęty RTV zużywają energię nawet wtedy, gdy ich nie używamy. W skali roku może to oznaczać dodatkowy koszt na poziomie 100–200 zł w jednym gospodarstwie domowym.</w:t>
      </w:r>
    </w:p>
    <w:p w14:paraId="0000000C" w14:textId="77777777" w:rsidR="008A16BD" w:rsidRPr="00E378BD" w:rsidRDefault="00000000">
      <w:pPr>
        <w:pStyle w:val="Nagwek3"/>
        <w:keepNext w:val="0"/>
        <w:keepLines w:val="0"/>
        <w:spacing w:before="280"/>
        <w:jc w:val="both"/>
        <w:rPr>
          <w:rFonts w:ascii="Montserrat" w:eastAsia="Montserrat" w:hAnsi="Montserrat" w:cs="Montserrat"/>
          <w:b/>
          <w:bCs/>
          <w:color w:val="000000"/>
          <w:sz w:val="26"/>
          <w:szCs w:val="26"/>
        </w:rPr>
      </w:pPr>
      <w:bookmarkStart w:id="3" w:name="_l442m2b2e3hd" w:colFirst="0" w:colLast="0"/>
      <w:bookmarkEnd w:id="3"/>
      <w:r w:rsidRPr="00E378BD">
        <w:rPr>
          <w:rFonts w:ascii="Montserrat" w:eastAsia="Montserrat" w:hAnsi="Montserrat" w:cs="Montserrat"/>
          <w:b/>
          <w:bCs/>
          <w:color w:val="000000"/>
          <w:sz w:val="26"/>
          <w:szCs w:val="26"/>
        </w:rPr>
        <w:t>Świadome i nieświadome korzystanie</w:t>
      </w:r>
    </w:p>
    <w:p w14:paraId="0000000D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Istotna część zużycia energii wynika z codziennych nawyków, które trudno zauważyć. Dotyczy to także prostych czynności, takich jak gotowanie wody.</w:t>
      </w:r>
    </w:p>
    <w:p w14:paraId="429D269B" w14:textId="38A17053" w:rsidR="00E378BD" w:rsidRDefault="00E378BD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 xml:space="preserve">- Przykładowo, wielokrotne uruchamianie czajnika zamiast zagotowania większej ilości wody jednorazowo może zwiększyć zużycie energii nawet o 20–30%. Z kolei wymiana tradycyjnych żarówek na oświetlenie LED pozwala ograniczyć zużycie energii na oświetlenie nawet o 75–80%, co może oznaczać do około 150 zł oszczędności rocznie w czteroosobowej rodzinie. - wyjaśnia Kaja Sawicka, Dyrektor Projektów OZE w </w:t>
      </w:r>
      <w:proofErr w:type="spellStart"/>
      <w:r w:rsidRPr="00E378BD">
        <w:rPr>
          <w:rFonts w:ascii="Montserrat" w:eastAsia="Montserrat" w:hAnsi="Montserrat" w:cs="Montserrat"/>
          <w:sz w:val="24"/>
          <w:szCs w:val="24"/>
        </w:rPr>
        <w:t>Enerconet</w:t>
      </w:r>
      <w:proofErr w:type="spellEnd"/>
      <w:r w:rsidRPr="00E378BD">
        <w:rPr>
          <w:rFonts w:ascii="Montserrat" w:eastAsia="Montserrat" w:hAnsi="Montserrat" w:cs="Montserrat"/>
          <w:sz w:val="24"/>
          <w:szCs w:val="24"/>
        </w:rPr>
        <w:t>.</w:t>
      </w:r>
    </w:p>
    <w:p w14:paraId="0000000F" w14:textId="455AAC9F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W podobny sposób działają nawyki związane z żywnością. Badania pokazują, że coraz więcej osób deklaruje ograniczanie jej marnowania (67,5% Polaków uznaje to za element stylu życia), jednak w praktyce działania te często sprowadzają się do podstawowych czynności, takich jak mrożenie produktów czy kontrola zawartości lodówki. Rzadziej obejmują bardziej systemowe podejście – jak planowanie zakupów czy pełne wykorzystywanie produktów.</w:t>
      </w:r>
    </w:p>
    <w:p w14:paraId="00000010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Świadome korzystanie z zasobów nie oznacza rezygnacji z wygody. Chodzi raczej o zauważenie tych miejsc, w których energia, jedzenie czy woda są zużywane niepotrzebnie i gdzie najłatwiej wprowadzić zmianę.</w:t>
      </w:r>
    </w:p>
    <w:p w14:paraId="00000011" w14:textId="77777777" w:rsidR="008A16BD" w:rsidRPr="00E378BD" w:rsidRDefault="00000000">
      <w:pPr>
        <w:pStyle w:val="Nagwek3"/>
        <w:keepNext w:val="0"/>
        <w:keepLines w:val="0"/>
        <w:spacing w:before="280"/>
        <w:jc w:val="both"/>
        <w:rPr>
          <w:rFonts w:ascii="Montserrat" w:eastAsia="Montserrat" w:hAnsi="Montserrat" w:cs="Montserrat"/>
          <w:b/>
          <w:bCs/>
          <w:color w:val="000000"/>
          <w:sz w:val="26"/>
          <w:szCs w:val="26"/>
        </w:rPr>
      </w:pPr>
      <w:bookmarkStart w:id="4" w:name="_apl5un7pzngx" w:colFirst="0" w:colLast="0"/>
      <w:bookmarkEnd w:id="4"/>
      <w:r w:rsidRPr="00E378BD">
        <w:rPr>
          <w:rFonts w:ascii="Montserrat" w:eastAsia="Montserrat" w:hAnsi="Montserrat" w:cs="Montserrat"/>
          <w:b/>
          <w:bCs/>
          <w:color w:val="000000"/>
          <w:sz w:val="26"/>
          <w:szCs w:val="26"/>
        </w:rPr>
        <w:t>Edukacja, która zaczyna się w domu</w:t>
      </w:r>
    </w:p>
    <w:p w14:paraId="00000012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 xml:space="preserve">Coraz większą rolę w budowaniu świadomości odgrywa edukacja – szczególnie ta prowadzona na poziomie lokalnym. </w:t>
      </w:r>
      <w:r w:rsidRPr="00E378BD">
        <w:rPr>
          <w:rFonts w:ascii="Montserrat" w:eastAsia="Montserrat" w:hAnsi="Montserrat" w:cs="Montserrat"/>
          <w:i/>
          <w:iCs/>
          <w:sz w:val="24"/>
          <w:szCs w:val="24"/>
        </w:rPr>
        <w:t xml:space="preserve">– Podczas zajęć w szkołach widzimy, że dzieci bardzo szybko rozumieją zależności i zaczynają zadawać pytania, które trafiają do ich codziennego życia. Ta wiedza wraca </w:t>
      </w:r>
      <w:r w:rsidRPr="00E378BD">
        <w:rPr>
          <w:rFonts w:ascii="Montserrat" w:eastAsia="Montserrat" w:hAnsi="Montserrat" w:cs="Montserrat"/>
          <w:i/>
          <w:iCs/>
          <w:sz w:val="24"/>
          <w:szCs w:val="24"/>
        </w:rPr>
        <w:lastRenderedPageBreak/>
        <w:t>do domu i wpływa na sposób myślenia całej rodziny</w:t>
      </w:r>
      <w:r w:rsidRPr="00E378BD">
        <w:rPr>
          <w:rFonts w:ascii="Montserrat" w:eastAsia="Montserrat" w:hAnsi="Montserrat" w:cs="Montserrat"/>
          <w:sz w:val="24"/>
          <w:szCs w:val="24"/>
        </w:rPr>
        <w:t xml:space="preserve"> – mówi Justyna Barwińska.</w:t>
      </w:r>
    </w:p>
    <w:p w14:paraId="00000013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Zdaniem ekspertki to właśnie w domu najłatwiej utrwalić dobre nawyki – poprzez rozmowę, przykład i wspólne działania. Dotyczy to również podejścia do jedzenia, które coraz częściej przestaje być wyłącznie kwestią codziennej organizacji, a staje się elementem świadomego stylu życia.</w:t>
      </w:r>
    </w:p>
    <w:p w14:paraId="00000014" w14:textId="77777777" w:rsidR="008A16BD" w:rsidRPr="00E378BD" w:rsidRDefault="00000000">
      <w:pPr>
        <w:pStyle w:val="Nagwek3"/>
        <w:keepNext w:val="0"/>
        <w:keepLines w:val="0"/>
        <w:spacing w:before="280"/>
        <w:jc w:val="both"/>
        <w:rPr>
          <w:rFonts w:ascii="Montserrat" w:eastAsia="Montserrat" w:hAnsi="Montserrat" w:cs="Montserrat"/>
          <w:b/>
          <w:bCs/>
          <w:color w:val="000000"/>
          <w:sz w:val="26"/>
          <w:szCs w:val="26"/>
        </w:rPr>
      </w:pPr>
      <w:bookmarkStart w:id="5" w:name="_148codjiznuf" w:colFirst="0" w:colLast="0"/>
      <w:bookmarkEnd w:id="5"/>
      <w:r w:rsidRPr="00E378BD">
        <w:rPr>
          <w:rFonts w:ascii="Montserrat" w:eastAsia="Montserrat" w:hAnsi="Montserrat" w:cs="Montserrat"/>
          <w:b/>
          <w:bCs/>
          <w:color w:val="000000"/>
          <w:sz w:val="26"/>
          <w:szCs w:val="26"/>
        </w:rPr>
        <w:t>Małe zmiany, realny wpływ</w:t>
      </w:r>
    </w:p>
    <w:p w14:paraId="00000015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Choć pojedyncze działania mogą wydawać się niewielkie, ich efekt w skali czasu i liczby gospodarstw jest znaczący. Nawet podstawowe zmiany – takie jak ograniczenie niepotrzebnego zużycia energii czy bardziej świadome korzystanie z zasobów – mogą zmniejszyć emisję CO₂ nawet o około 0,5 tony rocznie w jednym gospodarstwie domowym.</w:t>
      </w:r>
    </w:p>
    <w:p w14:paraId="00000016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Podobnie w wymiarze finansowym – ograniczenie marnowania żywności, obok oszczędności energii, staje się jednym z najbardziej odczuwalnych elementów poprawy domowego budżetu.</w:t>
      </w:r>
    </w:p>
    <w:p w14:paraId="00000017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To pokazuje, że codzienne decyzje mają realne znaczenie – nie tylko dla środowiska, ale także dla stabilności finansowej gospodarstw domowych.</w:t>
      </w:r>
    </w:p>
    <w:p w14:paraId="00000018" w14:textId="77777777" w:rsidR="008A16BD" w:rsidRPr="00E378BD" w:rsidRDefault="00000000">
      <w:pPr>
        <w:pStyle w:val="Nagwek3"/>
        <w:keepNext w:val="0"/>
        <w:keepLines w:val="0"/>
        <w:spacing w:before="280"/>
        <w:jc w:val="both"/>
        <w:rPr>
          <w:rFonts w:ascii="Montserrat" w:eastAsia="Montserrat" w:hAnsi="Montserrat" w:cs="Montserrat"/>
          <w:b/>
          <w:bCs/>
          <w:color w:val="000000"/>
          <w:sz w:val="26"/>
          <w:szCs w:val="26"/>
        </w:rPr>
      </w:pPr>
      <w:bookmarkStart w:id="6" w:name="_oj94j4bndh1z" w:colFirst="0" w:colLast="0"/>
      <w:bookmarkEnd w:id="6"/>
      <w:r w:rsidRPr="00E378BD">
        <w:rPr>
          <w:rFonts w:ascii="Montserrat" w:eastAsia="Montserrat" w:hAnsi="Montserrat" w:cs="Montserrat"/>
          <w:b/>
          <w:bCs/>
          <w:color w:val="000000"/>
          <w:sz w:val="26"/>
          <w:szCs w:val="26"/>
        </w:rPr>
        <w:t>Dzień Ziemi w praktyce</w:t>
      </w:r>
    </w:p>
    <w:p w14:paraId="00000019" w14:textId="77777777" w:rsidR="008A16BD" w:rsidRPr="00E378BD" w:rsidRDefault="00000000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Dzień Ziemi jest okazją do refleksji, ale jego znaczenie wykracza poza jeden dzień w roku. To przypomnienie, że środowisko naturalne jest naszym wspólnym dobrem, a odpowiedzialność za nie zaczyna się od codziennych wyborów. Zmiana nie wymaga dużych inwestycji ani radykalnych decyzji. W wielu przypadkach zaczyna się od uważności – od zauważenia, jak korzystamy z zasobów i co możemy zrobić inaczej.</w:t>
      </w:r>
    </w:p>
    <w:p w14:paraId="0000001A" w14:textId="77777777" w:rsidR="008A16BD" w:rsidRPr="00E378BD" w:rsidRDefault="00000000">
      <w:pPr>
        <w:pStyle w:val="Nagwek3"/>
        <w:keepNext w:val="0"/>
        <w:keepLines w:val="0"/>
        <w:spacing w:before="280"/>
        <w:jc w:val="both"/>
        <w:rPr>
          <w:rFonts w:ascii="Montserrat" w:eastAsia="Montserrat" w:hAnsi="Montserrat" w:cs="Montserrat"/>
          <w:b/>
          <w:bCs/>
          <w:color w:val="000000"/>
          <w:sz w:val="26"/>
          <w:szCs w:val="26"/>
        </w:rPr>
      </w:pPr>
      <w:bookmarkStart w:id="7" w:name="_uvl5iy4p4isc" w:colFirst="0" w:colLast="0"/>
      <w:bookmarkEnd w:id="7"/>
      <w:r w:rsidRPr="00E378BD">
        <w:rPr>
          <w:rFonts w:ascii="Montserrat" w:eastAsia="Montserrat" w:hAnsi="Montserrat" w:cs="Montserrat"/>
          <w:b/>
          <w:bCs/>
          <w:color w:val="000000"/>
          <w:sz w:val="26"/>
          <w:szCs w:val="26"/>
        </w:rPr>
        <w:t>Jak zacząć? Proste działania w domu</w:t>
      </w:r>
    </w:p>
    <w:p w14:paraId="0000001B" w14:textId="77777777" w:rsidR="008A16BD" w:rsidRPr="00E378BD" w:rsidRDefault="00000000">
      <w:pPr>
        <w:numPr>
          <w:ilvl w:val="0"/>
          <w:numId w:val="1"/>
        </w:numPr>
        <w:spacing w:before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wyłączanie urządzeń pozostawionych w trybie czuwania – nawet 100–200 zł oszczędności rocznie</w:t>
      </w:r>
    </w:p>
    <w:p w14:paraId="0000001C" w14:textId="77777777" w:rsidR="008A16BD" w:rsidRPr="00E378BD" w:rsidRDefault="00000000">
      <w:pPr>
        <w:numPr>
          <w:ilvl w:val="0"/>
          <w:numId w:val="1"/>
        </w:numPr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odpowiednie ustawienie i użytkowanie lodówki – możliwe 50–100 zł oszczędności rocznie</w:t>
      </w:r>
    </w:p>
    <w:p w14:paraId="0000001D" w14:textId="77777777" w:rsidR="008A16BD" w:rsidRPr="00E378BD" w:rsidRDefault="00000000">
      <w:pPr>
        <w:numPr>
          <w:ilvl w:val="0"/>
          <w:numId w:val="1"/>
        </w:numPr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gotowanie tylko potrzebnej ilości wody – do 20–30% mniej zużycia energii</w:t>
      </w:r>
    </w:p>
    <w:p w14:paraId="0000001E" w14:textId="77777777" w:rsidR="008A16BD" w:rsidRPr="00E378BD" w:rsidRDefault="00000000">
      <w:pPr>
        <w:numPr>
          <w:ilvl w:val="0"/>
          <w:numId w:val="1"/>
        </w:numPr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korzystanie z oświetlenia LED – nawet 75–80% mniej energii na oświetlenie (do ok. 150 zł rocznie)</w:t>
      </w:r>
    </w:p>
    <w:p w14:paraId="0000001F" w14:textId="77777777" w:rsidR="008A16BD" w:rsidRPr="00E378BD" w:rsidRDefault="00000000">
      <w:pPr>
        <w:numPr>
          <w:ilvl w:val="0"/>
          <w:numId w:val="1"/>
        </w:numPr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t>zwracanie uwagi na zużycie wody i innych zasobów</w:t>
      </w:r>
    </w:p>
    <w:p w14:paraId="00000020" w14:textId="245EFFC3" w:rsidR="008A16BD" w:rsidRPr="00E378BD" w:rsidRDefault="00000000">
      <w:pPr>
        <w:numPr>
          <w:ilvl w:val="0"/>
          <w:numId w:val="1"/>
        </w:numPr>
        <w:spacing w:after="240"/>
        <w:jc w:val="both"/>
        <w:rPr>
          <w:rFonts w:ascii="Montserrat" w:eastAsia="Montserrat" w:hAnsi="Montserrat" w:cs="Montserrat"/>
          <w:sz w:val="24"/>
          <w:szCs w:val="24"/>
        </w:rPr>
      </w:pPr>
      <w:r w:rsidRPr="00E378BD">
        <w:rPr>
          <w:rFonts w:ascii="Montserrat" w:eastAsia="Montserrat" w:hAnsi="Montserrat" w:cs="Montserrat"/>
          <w:sz w:val="24"/>
          <w:szCs w:val="24"/>
        </w:rPr>
        <w:lastRenderedPageBreak/>
        <w:t>planowanie zakupów i ograniczanie marnowania żywności (nawet 3 tysiące zł.</w:t>
      </w:r>
      <w:r w:rsidR="00E378BD">
        <w:rPr>
          <w:rFonts w:ascii="Montserrat" w:eastAsia="Montserrat" w:hAnsi="Montserrat" w:cs="Montserrat"/>
          <w:sz w:val="24"/>
          <w:szCs w:val="24"/>
        </w:rPr>
        <w:t xml:space="preserve"> </w:t>
      </w:r>
      <w:r w:rsidRPr="00E378BD">
        <w:rPr>
          <w:rFonts w:ascii="Montserrat" w:eastAsia="Montserrat" w:hAnsi="Montserrat" w:cs="Montserrat"/>
          <w:sz w:val="24"/>
          <w:szCs w:val="24"/>
        </w:rPr>
        <w:t>rocznie)</w:t>
      </w:r>
    </w:p>
    <w:p w14:paraId="00000021" w14:textId="77777777" w:rsidR="008A16BD" w:rsidRPr="00E378BD" w:rsidRDefault="008A16BD">
      <w:pPr>
        <w:spacing w:before="240" w:after="240"/>
        <w:jc w:val="both"/>
        <w:rPr>
          <w:rFonts w:ascii="Montserrat" w:eastAsia="Montserrat" w:hAnsi="Montserrat" w:cs="Montserrat"/>
          <w:sz w:val="24"/>
          <w:szCs w:val="24"/>
        </w:rPr>
      </w:pPr>
    </w:p>
    <w:p w14:paraId="00000022" w14:textId="77777777" w:rsidR="008A16BD" w:rsidRPr="00E378BD" w:rsidRDefault="008A16BD">
      <w:pPr>
        <w:jc w:val="both"/>
        <w:rPr>
          <w:rFonts w:ascii="Montserrat" w:eastAsia="Montserrat" w:hAnsi="Montserrat" w:cs="Montserrat"/>
          <w:sz w:val="24"/>
          <w:szCs w:val="24"/>
        </w:rPr>
      </w:pPr>
    </w:p>
    <w:p w14:paraId="00000023" w14:textId="77777777" w:rsidR="008A16BD" w:rsidRPr="00E378BD" w:rsidRDefault="008A16BD">
      <w:pPr>
        <w:jc w:val="both"/>
        <w:rPr>
          <w:rFonts w:ascii="Montserrat" w:eastAsia="Montserrat" w:hAnsi="Montserrat" w:cs="Montserrat"/>
          <w:sz w:val="24"/>
          <w:szCs w:val="24"/>
        </w:rPr>
      </w:pPr>
    </w:p>
    <w:p w14:paraId="00000024" w14:textId="77777777" w:rsidR="008A16BD" w:rsidRPr="00E378BD" w:rsidRDefault="008A16BD">
      <w:pPr>
        <w:jc w:val="both"/>
        <w:rPr>
          <w:rFonts w:ascii="Montserrat" w:eastAsia="Montserrat" w:hAnsi="Montserrat" w:cs="Montserrat"/>
          <w:sz w:val="20"/>
          <w:szCs w:val="20"/>
        </w:rPr>
      </w:pPr>
    </w:p>
    <w:p w14:paraId="00000025" w14:textId="77777777" w:rsidR="008A16BD" w:rsidRPr="00E378BD" w:rsidRDefault="008A16BD">
      <w:pPr>
        <w:spacing w:line="240" w:lineRule="auto"/>
        <w:jc w:val="both"/>
        <w:rPr>
          <w:rFonts w:ascii="Montserrat" w:eastAsia="Montserrat" w:hAnsi="Montserrat" w:cs="Montserrat"/>
          <w:sz w:val="18"/>
          <w:szCs w:val="18"/>
        </w:rPr>
      </w:pPr>
    </w:p>
    <w:p w14:paraId="00000026" w14:textId="77777777" w:rsidR="008A16BD" w:rsidRPr="00E378BD" w:rsidRDefault="00000000">
      <w:pPr>
        <w:spacing w:line="240" w:lineRule="auto"/>
        <w:jc w:val="both"/>
        <w:rPr>
          <w:rFonts w:ascii="Montserrat" w:eastAsia="Montserrat" w:hAnsi="Montserrat" w:cs="Montserrat"/>
          <w:sz w:val="18"/>
          <w:szCs w:val="18"/>
        </w:rPr>
      </w:pPr>
      <w:r w:rsidRPr="00E378BD">
        <w:rPr>
          <w:rFonts w:ascii="Montserrat" w:eastAsia="Montserrat" w:hAnsi="Montserrat" w:cs="Montserrat"/>
          <w:sz w:val="18"/>
          <w:szCs w:val="18"/>
        </w:rPr>
        <w:t>Źródła:</w:t>
      </w:r>
    </w:p>
    <w:p w14:paraId="00000027" w14:textId="77777777" w:rsidR="008A16BD" w:rsidRPr="00E378BD" w:rsidRDefault="00000000">
      <w:pPr>
        <w:spacing w:before="240" w:after="240" w:line="240" w:lineRule="auto"/>
        <w:jc w:val="both"/>
        <w:rPr>
          <w:rFonts w:ascii="Montserrat" w:eastAsia="Montserrat" w:hAnsi="Montserrat" w:cs="Montserrat"/>
          <w:color w:val="1155CC"/>
          <w:sz w:val="18"/>
          <w:szCs w:val="18"/>
          <w:u w:val="single"/>
        </w:rPr>
      </w:pPr>
      <w:r w:rsidRPr="00E378BD">
        <w:rPr>
          <w:rFonts w:ascii="Montserrat" w:eastAsia="Montserrat" w:hAnsi="Montserrat" w:cs="Montserrat"/>
          <w:sz w:val="18"/>
          <w:szCs w:val="18"/>
        </w:rPr>
        <w:t>Główny Urząd Statystyczny (GUS), „Zużycie energii w gospodarstwach domowych w Polsce”</w:t>
      </w:r>
      <w:r w:rsidRPr="00E378BD">
        <w:rPr>
          <w:rFonts w:ascii="Montserrat" w:eastAsia="Montserrat" w:hAnsi="Montserrat" w:cs="Montserrat"/>
          <w:sz w:val="18"/>
          <w:szCs w:val="18"/>
        </w:rPr>
        <w:br/>
      </w:r>
      <w:hyperlink r:id="rId5">
        <w:r w:rsidRPr="00E378BD">
          <w:rPr>
            <w:rFonts w:ascii="Montserrat" w:eastAsia="Montserrat" w:hAnsi="Montserrat" w:cs="Montserrat"/>
            <w:color w:val="1155CC"/>
            <w:sz w:val="18"/>
            <w:szCs w:val="18"/>
            <w:u w:val="single"/>
          </w:rPr>
          <w:t>https://stat.gov.pl</w:t>
        </w:r>
      </w:hyperlink>
    </w:p>
    <w:p w14:paraId="00000028" w14:textId="77777777" w:rsidR="008A16BD" w:rsidRPr="00E378BD" w:rsidRDefault="00000000">
      <w:pPr>
        <w:spacing w:before="240" w:after="240" w:line="240" w:lineRule="auto"/>
        <w:jc w:val="both"/>
        <w:rPr>
          <w:rFonts w:ascii="Montserrat" w:eastAsia="Montserrat" w:hAnsi="Montserrat" w:cs="Montserrat"/>
          <w:color w:val="1155CC"/>
          <w:sz w:val="18"/>
          <w:szCs w:val="18"/>
          <w:u w:val="single"/>
        </w:rPr>
      </w:pPr>
      <w:r w:rsidRPr="00E378BD">
        <w:rPr>
          <w:rFonts w:ascii="Montserrat" w:eastAsia="Montserrat" w:hAnsi="Montserrat" w:cs="Montserrat"/>
          <w:sz w:val="18"/>
          <w:szCs w:val="18"/>
        </w:rPr>
        <w:t>Eurostat, dane dotyczące zużycia energii w gospodarstwach domowych</w:t>
      </w:r>
      <w:r w:rsidRPr="00E378BD">
        <w:rPr>
          <w:rFonts w:ascii="Montserrat" w:eastAsia="Montserrat" w:hAnsi="Montserrat" w:cs="Montserrat"/>
          <w:sz w:val="18"/>
          <w:szCs w:val="18"/>
        </w:rPr>
        <w:br/>
      </w:r>
      <w:hyperlink r:id="rId6">
        <w:r w:rsidRPr="00E378BD">
          <w:rPr>
            <w:rFonts w:ascii="Montserrat" w:eastAsia="Montserrat" w:hAnsi="Montserrat" w:cs="Montserrat"/>
            <w:color w:val="1155CC"/>
            <w:sz w:val="18"/>
            <w:szCs w:val="18"/>
            <w:u w:val="single"/>
          </w:rPr>
          <w:t>https://ec.europa.eu/eurostat</w:t>
        </w:r>
      </w:hyperlink>
    </w:p>
    <w:p w14:paraId="00000029" w14:textId="77777777" w:rsidR="008A16BD" w:rsidRPr="00E378BD" w:rsidRDefault="00000000">
      <w:pPr>
        <w:spacing w:before="240" w:after="240" w:line="240" w:lineRule="auto"/>
        <w:jc w:val="both"/>
        <w:rPr>
          <w:rFonts w:ascii="Montserrat" w:eastAsia="Montserrat" w:hAnsi="Montserrat" w:cs="Montserrat"/>
          <w:color w:val="1155CC"/>
          <w:sz w:val="18"/>
          <w:szCs w:val="18"/>
          <w:u w:val="single"/>
        </w:rPr>
      </w:pPr>
      <w:r w:rsidRPr="00E378BD">
        <w:rPr>
          <w:rFonts w:ascii="Montserrat" w:eastAsia="Montserrat" w:hAnsi="Montserrat" w:cs="Montserrat"/>
          <w:sz w:val="18"/>
          <w:szCs w:val="18"/>
        </w:rPr>
        <w:t>Urząd Regulacji Energetyki (URE), informacje o zużyciu energii i kosztach</w:t>
      </w:r>
      <w:r w:rsidRPr="00E378BD">
        <w:rPr>
          <w:rFonts w:ascii="Montserrat" w:eastAsia="Montserrat" w:hAnsi="Montserrat" w:cs="Montserrat"/>
          <w:sz w:val="18"/>
          <w:szCs w:val="18"/>
        </w:rPr>
        <w:br/>
      </w:r>
      <w:hyperlink r:id="rId7">
        <w:r w:rsidRPr="00E378BD">
          <w:rPr>
            <w:rFonts w:ascii="Montserrat" w:eastAsia="Montserrat" w:hAnsi="Montserrat" w:cs="Montserrat"/>
            <w:color w:val="1155CC"/>
            <w:sz w:val="18"/>
            <w:szCs w:val="18"/>
            <w:u w:val="single"/>
          </w:rPr>
          <w:t>https://www.ure.gov.pl</w:t>
        </w:r>
      </w:hyperlink>
    </w:p>
    <w:p w14:paraId="0000002A" w14:textId="77777777" w:rsidR="008A16BD" w:rsidRPr="00E378BD" w:rsidRDefault="00000000">
      <w:pPr>
        <w:spacing w:before="240" w:after="240" w:line="240" w:lineRule="auto"/>
        <w:jc w:val="both"/>
        <w:rPr>
          <w:rFonts w:ascii="Montserrat" w:eastAsia="Montserrat" w:hAnsi="Montserrat" w:cs="Montserrat"/>
          <w:color w:val="1155CC"/>
          <w:sz w:val="18"/>
          <w:szCs w:val="18"/>
          <w:u w:val="single"/>
        </w:rPr>
      </w:pPr>
      <w:r w:rsidRPr="00E378BD">
        <w:rPr>
          <w:rFonts w:ascii="Montserrat" w:eastAsia="Montserrat" w:hAnsi="Montserrat" w:cs="Montserrat"/>
          <w:sz w:val="18"/>
          <w:szCs w:val="18"/>
        </w:rPr>
        <w:t>Europejska Agencja Środowiska (EEA), dane dotyczące emisji CO₂</w:t>
      </w:r>
      <w:r w:rsidRPr="00E378BD">
        <w:rPr>
          <w:rFonts w:ascii="Montserrat" w:eastAsia="Montserrat" w:hAnsi="Montserrat" w:cs="Montserrat"/>
          <w:sz w:val="18"/>
          <w:szCs w:val="18"/>
        </w:rPr>
        <w:br/>
      </w:r>
      <w:hyperlink r:id="rId8">
        <w:r w:rsidRPr="00E378BD">
          <w:rPr>
            <w:rFonts w:ascii="Montserrat" w:eastAsia="Montserrat" w:hAnsi="Montserrat" w:cs="Montserrat"/>
            <w:color w:val="1155CC"/>
            <w:sz w:val="18"/>
            <w:szCs w:val="18"/>
            <w:u w:val="single"/>
          </w:rPr>
          <w:t>https://www.eea.europa.eu</w:t>
        </w:r>
      </w:hyperlink>
    </w:p>
    <w:p w14:paraId="0000002B" w14:textId="77777777" w:rsidR="008A16BD" w:rsidRPr="00E378BD" w:rsidRDefault="00000000">
      <w:pPr>
        <w:spacing w:line="240" w:lineRule="auto"/>
        <w:jc w:val="both"/>
        <w:rPr>
          <w:rFonts w:ascii="Montserrat" w:eastAsia="Montserrat" w:hAnsi="Montserrat" w:cs="Montserrat"/>
          <w:sz w:val="18"/>
          <w:szCs w:val="18"/>
        </w:rPr>
      </w:pPr>
      <w:r w:rsidRPr="00E378BD">
        <w:rPr>
          <w:rFonts w:ascii="Montserrat" w:eastAsia="Montserrat" w:hAnsi="Montserrat" w:cs="Montserrat"/>
          <w:sz w:val="18"/>
          <w:szCs w:val="18"/>
        </w:rPr>
        <w:t xml:space="preserve">SW </w:t>
      </w:r>
      <w:proofErr w:type="spellStart"/>
      <w:r w:rsidRPr="00E378BD">
        <w:rPr>
          <w:rFonts w:ascii="Montserrat" w:eastAsia="Montserrat" w:hAnsi="Montserrat" w:cs="Montserrat"/>
          <w:sz w:val="18"/>
          <w:szCs w:val="18"/>
        </w:rPr>
        <w:t>Research</w:t>
      </w:r>
      <w:proofErr w:type="spellEnd"/>
      <w:r w:rsidRPr="00E378BD">
        <w:rPr>
          <w:rFonts w:ascii="Montserrat" w:eastAsia="Montserrat" w:hAnsi="Montserrat" w:cs="Montserrat"/>
          <w:sz w:val="18"/>
          <w:szCs w:val="18"/>
        </w:rPr>
        <w:t xml:space="preserve"> na zlecenie </w:t>
      </w:r>
      <w:proofErr w:type="spellStart"/>
      <w:r w:rsidRPr="00E378BD">
        <w:rPr>
          <w:rFonts w:ascii="Montserrat" w:eastAsia="Montserrat" w:hAnsi="Montserrat" w:cs="Montserrat"/>
          <w:sz w:val="18"/>
          <w:szCs w:val="18"/>
        </w:rPr>
        <w:t>Kaufland</w:t>
      </w:r>
      <w:proofErr w:type="spellEnd"/>
    </w:p>
    <w:p w14:paraId="0000002C" w14:textId="77777777" w:rsidR="008A16BD" w:rsidRPr="00E378BD" w:rsidRDefault="00000000">
      <w:pPr>
        <w:spacing w:line="240" w:lineRule="auto"/>
        <w:jc w:val="both"/>
        <w:rPr>
          <w:rFonts w:ascii="Montserrat" w:eastAsia="Montserrat" w:hAnsi="Montserrat" w:cs="Montserrat"/>
          <w:sz w:val="18"/>
          <w:szCs w:val="18"/>
        </w:rPr>
      </w:pPr>
      <w:hyperlink r:id="rId9">
        <w:r w:rsidRPr="00E378BD">
          <w:rPr>
            <w:rFonts w:ascii="Montserrat" w:eastAsia="Montserrat" w:hAnsi="Montserrat" w:cs="Montserrat"/>
            <w:color w:val="1155CC"/>
            <w:sz w:val="18"/>
            <w:szCs w:val="18"/>
            <w:u w:val="single"/>
          </w:rPr>
          <w:t>https://300gospodarka.pl/news/niemarnowanie-zywnosci-a-oszczedzanie</w:t>
        </w:r>
      </w:hyperlink>
      <w:r w:rsidRPr="00E378BD">
        <w:rPr>
          <w:rFonts w:ascii="Montserrat" w:eastAsia="Montserrat" w:hAnsi="Montserrat" w:cs="Montserrat"/>
          <w:sz w:val="18"/>
          <w:szCs w:val="18"/>
        </w:rPr>
        <w:t xml:space="preserve"> </w:t>
      </w:r>
    </w:p>
    <w:sectPr w:rsidR="008A16BD" w:rsidRPr="00E378BD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E68168DD-A492-4A8E-A0A5-B2ABF0CBB3D1}"/>
    <w:embedBold r:id="rId2" w:fontKey="{2D2613B1-4AF5-489E-B2DA-855E242CA08E}"/>
    <w:embedItalic r:id="rId3" w:fontKey="{7372B465-D542-46F7-A237-3A5749B4781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27505AF9-374C-4CC6-B730-D21F18BC777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A5A0C46A-E24E-4DFE-8BFC-94D8D1DF267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8C17FD5"/>
    <w:multiLevelType w:val="multilevel"/>
    <w:tmpl w:val="FFC4A6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937188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16BD"/>
    <w:rsid w:val="007448B7"/>
    <w:rsid w:val="008A16BD"/>
    <w:rsid w:val="00E37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336FF3"/>
  <w15:docId w15:val="{F138799E-C494-46F8-92BD-3E9708A2DF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eea.europa.eu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ure.gov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ec.europa.eu/eurostat" TargetMode="External"/><Relationship Id="rId11" Type="http://schemas.openxmlformats.org/officeDocument/2006/relationships/theme" Target="theme/theme1.xml"/><Relationship Id="rId5" Type="http://schemas.openxmlformats.org/officeDocument/2006/relationships/hyperlink" Target="https://stat.gov.pl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300gospodarka.pl/news/niemarnowanie-zywnosci-a-oszczedzani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1004</Words>
  <Characters>6028</Characters>
  <Application>Microsoft Office Word</Application>
  <DocSecurity>0</DocSecurity>
  <Lines>50</Lines>
  <Paragraphs>14</Paragraphs>
  <ScaleCrop>false</ScaleCrop>
  <Company/>
  <LinksUpToDate>false</LinksUpToDate>
  <CharactersWithSpaces>7018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Goławska</cp:lastModifiedBy>
  <cp:revision>2</cp:revision>
  <dcterms:created xsi:type="dcterms:W3CDTF">2026-04-15T06:29:00Z</dcterms:created>
  <dcterms:modified xsi:type="dcterms:W3CDTF">2026-04-15T06:32:00Z</dcterms:modified>
</cp:coreProperties>
</file>