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1EBE2" w14:textId="77777777" w:rsidR="00722E2C" w:rsidRDefault="00722E2C" w:rsidP="00A8745D">
      <w:pPr>
        <w:spacing w:before="120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1F5218D0" w14:textId="05933697" w:rsidR="00722E2C" w:rsidRPr="00A8745D" w:rsidRDefault="00722E2C" w:rsidP="00A8745D">
      <w:pPr>
        <w:spacing w:before="120"/>
        <w:jc w:val="center"/>
        <w:rPr>
          <w:rFonts w:ascii="Calibri" w:eastAsia="Calibri" w:hAnsi="Calibri" w:cs="Calibri"/>
          <w:b/>
          <w:sz w:val="24"/>
          <w:szCs w:val="24"/>
        </w:rPr>
      </w:pPr>
      <w:r w:rsidRPr="00A8745D">
        <w:rPr>
          <w:rFonts w:ascii="Calibri" w:eastAsia="Calibri" w:hAnsi="Calibri" w:cs="Calibri"/>
          <w:b/>
          <w:sz w:val="24"/>
          <w:szCs w:val="24"/>
        </w:rPr>
        <w:t>Edukacja szkolna i zaburzenia żywienia - dlaczego nie rozmawiamy o tym w szkole?</w:t>
      </w:r>
    </w:p>
    <w:p w14:paraId="62A80003" w14:textId="2C845D83" w:rsidR="00722E2C" w:rsidRPr="00A8745D" w:rsidRDefault="00722E2C" w:rsidP="00A8745D">
      <w:pPr>
        <w:spacing w:before="120"/>
        <w:jc w:val="both"/>
        <w:rPr>
          <w:rFonts w:ascii="Calibri" w:eastAsia="Calibri" w:hAnsi="Calibri" w:cs="Calibri"/>
          <w:b/>
          <w:sz w:val="24"/>
          <w:szCs w:val="24"/>
        </w:rPr>
      </w:pPr>
      <w:r w:rsidRPr="00A8745D">
        <w:rPr>
          <w:rFonts w:ascii="Calibri" w:eastAsia="Calibri" w:hAnsi="Calibri" w:cs="Calibri"/>
          <w:b/>
          <w:sz w:val="24"/>
          <w:szCs w:val="24"/>
        </w:rPr>
        <w:t xml:space="preserve">Dzieci oraz młodzież spędzają w szkole większą część każdego dnia w trakcie tzw. tygodnia roboczego. Jak wynika z danych: dzieci w edukacji wczesnoszkolnej uczą się ok. 20 godzin tygodniowo, ale już starsze dzieci w klasach od 4 – 8 spędzają ok. 16 godzin zegarowych tygodniowo. Dlatego można wskazać, że pewne rodzaje zachowania i zaburzenia, w tym również te w zakresie odżywiania, są widoczne nie tylko w domu, dla rodziców, ale również w szkole. </w:t>
      </w:r>
      <w:r w:rsidR="003D3444" w:rsidRPr="00A8745D">
        <w:rPr>
          <w:rFonts w:ascii="Calibri" w:eastAsia="Calibri" w:hAnsi="Calibri" w:cs="Calibri"/>
          <w:b/>
          <w:sz w:val="24"/>
          <w:szCs w:val="24"/>
        </w:rPr>
        <w:t>W jaki sposób szkoła może pomagać unikać albo rozpoznać zaburzenia odżywiania we wczesnym wieku?</w:t>
      </w:r>
      <w:r w:rsidR="003D3444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Pr="00A8745D">
        <w:rPr>
          <w:rFonts w:ascii="Calibri" w:eastAsia="Calibri" w:hAnsi="Calibri" w:cs="Calibri"/>
          <w:b/>
          <w:sz w:val="24"/>
          <w:szCs w:val="24"/>
        </w:rPr>
        <w:t>Jakie stanowisko mają w tym temacie dietetycy?</w:t>
      </w:r>
    </w:p>
    <w:p w14:paraId="1975DE99" w14:textId="77777777" w:rsidR="00722E2C" w:rsidRPr="00A8745D" w:rsidRDefault="00722E2C" w:rsidP="00A8745D">
      <w:pPr>
        <w:spacing w:before="120"/>
        <w:jc w:val="both"/>
        <w:rPr>
          <w:rFonts w:ascii="Calibri" w:eastAsia="Calibri" w:hAnsi="Calibri" w:cs="Calibri"/>
          <w:b/>
          <w:sz w:val="24"/>
          <w:szCs w:val="24"/>
        </w:rPr>
      </w:pPr>
      <w:r w:rsidRPr="00A8745D">
        <w:rPr>
          <w:rFonts w:ascii="Calibri" w:eastAsia="Calibri" w:hAnsi="Calibri" w:cs="Calibri"/>
          <w:b/>
          <w:sz w:val="24"/>
          <w:szCs w:val="24"/>
        </w:rPr>
        <w:t>Zaburzenia odżywiania u dzieci i nastolatków – skąd się biorą?</w:t>
      </w:r>
    </w:p>
    <w:p w14:paraId="6492BBF0" w14:textId="26B6C19D" w:rsidR="00722E2C" w:rsidRPr="00A8745D" w:rsidRDefault="00544648" w:rsidP="00A8745D">
      <w:pPr>
        <w:spacing w:before="120"/>
        <w:jc w:val="both"/>
        <w:rPr>
          <w:rFonts w:ascii="Calibri" w:eastAsia="Calibri" w:hAnsi="Calibri" w:cs="Calibri"/>
          <w:bCs/>
          <w:sz w:val="24"/>
          <w:szCs w:val="24"/>
        </w:rPr>
      </w:pPr>
      <w:r w:rsidRPr="00A8745D">
        <w:rPr>
          <w:rFonts w:ascii="Calibri" w:eastAsia="Calibri" w:hAnsi="Calibri" w:cs="Calibri"/>
          <w:bCs/>
          <w:sz w:val="24"/>
          <w:szCs w:val="24"/>
        </w:rPr>
        <w:t>Jak pokazują badania, w</w:t>
      </w:r>
      <w:r w:rsidR="00722E2C" w:rsidRPr="00A8745D">
        <w:rPr>
          <w:rFonts w:ascii="Calibri" w:eastAsia="Calibri" w:hAnsi="Calibri" w:cs="Calibri"/>
          <w:bCs/>
          <w:sz w:val="24"/>
          <w:szCs w:val="24"/>
        </w:rPr>
        <w:t>iększość przypadków zaburzeń odżywiania dotyczy nastoletnich dziewcząt</w:t>
      </w:r>
      <w:r w:rsidRPr="00A8745D">
        <w:rPr>
          <w:rFonts w:ascii="Calibri" w:eastAsia="Calibri" w:hAnsi="Calibri" w:cs="Calibri"/>
          <w:bCs/>
          <w:sz w:val="24"/>
          <w:szCs w:val="24"/>
        </w:rPr>
        <w:t xml:space="preserve">. A co bardziej niepokojące, </w:t>
      </w:r>
      <w:r w:rsidR="00722E2C" w:rsidRPr="00A8745D">
        <w:rPr>
          <w:rFonts w:ascii="Calibri" w:eastAsia="Calibri" w:hAnsi="Calibri" w:cs="Calibri"/>
          <w:bCs/>
          <w:sz w:val="24"/>
          <w:szCs w:val="24"/>
        </w:rPr>
        <w:t>schorzenia te dotyczą również małych dzieci - także w wieku przedszkolnym i wczesnoszkolnym. Co istotne, problemy te dotyczą obu płci. Jak wskazują autorki</w:t>
      </w:r>
      <w:r w:rsidRPr="00A8745D">
        <w:rPr>
          <w:rFonts w:ascii="Calibri" w:eastAsia="Calibri" w:hAnsi="Calibri" w:cs="Calibri"/>
          <w:bCs/>
          <w:sz w:val="24"/>
          <w:szCs w:val="24"/>
        </w:rPr>
        <w:t xml:space="preserve"> książki „Zaburzenia odżywiania jako problem zdrowotny i psychospołeczny”,</w:t>
      </w:r>
      <w:r w:rsidR="00722E2C" w:rsidRPr="00A8745D">
        <w:rPr>
          <w:rFonts w:ascii="Calibri" w:eastAsia="Calibri" w:hAnsi="Calibri" w:cs="Calibri"/>
          <w:bCs/>
          <w:sz w:val="24"/>
          <w:szCs w:val="24"/>
        </w:rPr>
        <w:t xml:space="preserve"> ok. 5 – 10% chorych stanowią chłopcy w okresie dojrzewania, a w grupie dziewcząt poniżej 18 roku życia w Polsce problem anoreksji dotyczy nawet ok. 0,8–1,8%, a z uwzględnieniem postaci atypowych</w:t>
      </w:r>
      <w:r w:rsidRPr="00A8745D">
        <w:rPr>
          <w:rFonts w:ascii="Calibri" w:eastAsia="Calibri" w:hAnsi="Calibri" w:cs="Calibri"/>
          <w:bCs/>
          <w:sz w:val="24"/>
          <w:szCs w:val="24"/>
        </w:rPr>
        <w:t>,</w:t>
      </w:r>
      <w:r w:rsidR="00722E2C" w:rsidRPr="00A8745D">
        <w:rPr>
          <w:rFonts w:ascii="Calibri" w:eastAsia="Calibri" w:hAnsi="Calibri" w:cs="Calibri"/>
          <w:bCs/>
          <w:sz w:val="24"/>
          <w:szCs w:val="24"/>
        </w:rPr>
        <w:t xml:space="preserve"> odsetek ten sięga nawet 3,7%</w:t>
      </w:r>
      <w:r w:rsidR="00722E2C" w:rsidRPr="00A8745D">
        <w:rPr>
          <w:rFonts w:ascii="Calibri" w:eastAsia="Calibri" w:hAnsi="Calibri" w:cs="Calibri"/>
          <w:bCs/>
          <w:sz w:val="24"/>
          <w:szCs w:val="24"/>
          <w:vertAlign w:val="superscript"/>
        </w:rPr>
        <w:t>2</w:t>
      </w:r>
      <w:r w:rsidR="00722E2C" w:rsidRPr="00A8745D">
        <w:rPr>
          <w:rFonts w:ascii="Calibri" w:eastAsia="Calibri" w:hAnsi="Calibri" w:cs="Calibri"/>
          <w:bCs/>
          <w:sz w:val="24"/>
          <w:szCs w:val="24"/>
        </w:rPr>
        <w:t>.</w:t>
      </w:r>
    </w:p>
    <w:p w14:paraId="68CD3449" w14:textId="5EAE6CD9" w:rsidR="00722E2C" w:rsidRPr="00A8745D" w:rsidRDefault="00722E2C" w:rsidP="00A8745D">
      <w:pPr>
        <w:spacing w:before="120"/>
        <w:jc w:val="both"/>
        <w:rPr>
          <w:rFonts w:ascii="Calibri" w:eastAsia="Calibri" w:hAnsi="Calibri" w:cs="Calibri"/>
          <w:b/>
          <w:sz w:val="24"/>
          <w:szCs w:val="24"/>
        </w:rPr>
      </w:pPr>
      <w:r w:rsidRPr="00A8745D">
        <w:rPr>
          <w:rFonts w:ascii="Calibri" w:eastAsia="Calibri" w:hAnsi="Calibri" w:cs="Calibri"/>
          <w:b/>
          <w:sz w:val="24"/>
          <w:szCs w:val="24"/>
        </w:rPr>
        <w:t>Najczęstsze przyczyny zaburzeń odżywiania u dzieci i nastolatków</w:t>
      </w:r>
    </w:p>
    <w:p w14:paraId="235BD0FA" w14:textId="02B830D4" w:rsidR="00722E2C" w:rsidRPr="00A8745D" w:rsidRDefault="00722E2C" w:rsidP="00A8745D">
      <w:pPr>
        <w:spacing w:before="120"/>
        <w:jc w:val="both"/>
        <w:rPr>
          <w:rFonts w:ascii="Calibri" w:eastAsia="Calibri" w:hAnsi="Calibri" w:cs="Calibri"/>
          <w:bCs/>
          <w:sz w:val="24"/>
          <w:szCs w:val="24"/>
        </w:rPr>
      </w:pPr>
      <w:r w:rsidRPr="00A8745D">
        <w:rPr>
          <w:rFonts w:ascii="Calibri" w:eastAsia="Calibri" w:hAnsi="Calibri" w:cs="Calibri"/>
          <w:bCs/>
          <w:sz w:val="24"/>
          <w:szCs w:val="24"/>
        </w:rPr>
        <w:t>Zaburzenia odżywiania u dzieci i nastolatków są charakterystyczne dla kultury zachodniej i są związane głównie z potrzebą utrzymania szczupłej sylwetki, co jest społecznie akceptowalne i pożądane, przy jednoczesnej dużej dostępności do różnego rodzaju produktów spożywczych, w tym produktów wysoko przetworzonych, których regularne spożywanie powoduje problemy zdrowotne oraz tycie. Warto podkreślić, że etiologia zaburzeń odżywiania jest wieloczynnikowa i do tej pory nie są znane wszystkie powody jej występowania, ale istotną rolę w rozwoju zaburzeń odżywiania u dzieci i młodzieży odgrywają czynniki rodzinne psychologiczne, społeczne, kulturowe, a także osobowościowe i genetyczne</w:t>
      </w:r>
      <w:r w:rsidRPr="00A8745D">
        <w:rPr>
          <w:rFonts w:ascii="Calibri" w:eastAsia="Calibri" w:hAnsi="Calibri" w:cs="Calibri"/>
          <w:bCs/>
          <w:sz w:val="24"/>
          <w:szCs w:val="24"/>
          <w:vertAlign w:val="superscript"/>
        </w:rPr>
        <w:t>2</w:t>
      </w:r>
      <w:r w:rsidRPr="00A8745D">
        <w:rPr>
          <w:rFonts w:ascii="Calibri" w:eastAsia="Calibri" w:hAnsi="Calibri" w:cs="Calibri"/>
          <w:bCs/>
          <w:sz w:val="24"/>
          <w:szCs w:val="24"/>
        </w:rPr>
        <w:t>.</w:t>
      </w:r>
    </w:p>
    <w:p w14:paraId="2F8BABF8" w14:textId="35EE4ADE" w:rsidR="003D12DA" w:rsidRPr="00D2547A" w:rsidRDefault="00722E2C" w:rsidP="00A8745D">
      <w:pPr>
        <w:spacing w:before="120"/>
        <w:jc w:val="both"/>
        <w:rPr>
          <w:rFonts w:ascii="Calibri" w:eastAsia="Calibri" w:hAnsi="Calibri" w:cs="Calibri"/>
          <w:bCs/>
          <w:sz w:val="24"/>
          <w:szCs w:val="24"/>
        </w:rPr>
      </w:pPr>
      <w:r w:rsidRPr="00A8745D">
        <w:rPr>
          <w:rFonts w:ascii="Calibri" w:eastAsia="Calibri" w:hAnsi="Calibri" w:cs="Calibri"/>
          <w:bCs/>
          <w:sz w:val="24"/>
          <w:szCs w:val="24"/>
        </w:rPr>
        <w:t xml:space="preserve">W oparciu o badania prof. M. </w:t>
      </w:r>
      <w:proofErr w:type="spellStart"/>
      <w:r w:rsidRPr="00A8745D">
        <w:rPr>
          <w:rFonts w:ascii="Calibri" w:eastAsia="Calibri" w:hAnsi="Calibri" w:cs="Calibri"/>
          <w:bCs/>
          <w:sz w:val="24"/>
          <w:szCs w:val="24"/>
        </w:rPr>
        <w:t>Mędrasia</w:t>
      </w:r>
      <w:proofErr w:type="spellEnd"/>
      <w:r w:rsidRPr="00A8745D">
        <w:rPr>
          <w:rFonts w:ascii="Calibri" w:eastAsia="Calibri" w:hAnsi="Calibri" w:cs="Calibri"/>
          <w:bCs/>
          <w:sz w:val="24"/>
          <w:szCs w:val="24"/>
        </w:rPr>
        <w:t xml:space="preserve"> z Akademii Wychowania Fizycznego we Wrocławiu wskazuje się, że z problemami zaburzenia zmagają się zwłaszcza nastolatki i młode kobiety, co ma podłoże społeczno-kulturalne i odnosi się do postrzegania kobiety.</w:t>
      </w:r>
      <w:r w:rsidRPr="00A8745D">
        <w:rPr>
          <w:rFonts w:ascii="Calibri" w:eastAsia="Calibri" w:hAnsi="Calibri" w:cs="Calibri"/>
          <w:bCs/>
          <w:sz w:val="24"/>
          <w:szCs w:val="24"/>
          <w:vertAlign w:val="superscript"/>
        </w:rPr>
        <w:t xml:space="preserve"> 3</w:t>
      </w:r>
      <w:r w:rsidRPr="00A8745D">
        <w:rPr>
          <w:rFonts w:ascii="Calibri" w:eastAsia="Calibri" w:hAnsi="Calibri" w:cs="Calibri"/>
          <w:bCs/>
          <w:sz w:val="24"/>
          <w:szCs w:val="24"/>
        </w:rPr>
        <w:t xml:space="preserve"> „</w:t>
      </w:r>
      <w:r w:rsidRPr="00A8745D">
        <w:rPr>
          <w:rFonts w:ascii="Calibri" w:eastAsia="Calibri" w:hAnsi="Calibri" w:cs="Calibri"/>
          <w:bCs/>
          <w:i/>
          <w:iCs/>
          <w:sz w:val="24"/>
          <w:szCs w:val="24"/>
        </w:rPr>
        <w:t>Można tu wskazać na swoistą pogoń za wymarzoną sylwetką i nieumiejętność radzenia sobie z mankamentami urody, co w efekcie prowadzi do takich zaburzeń jak anoreksja</w:t>
      </w:r>
      <w:r w:rsidR="00A3281F" w:rsidRPr="00A8745D">
        <w:rPr>
          <w:rFonts w:ascii="Calibri" w:eastAsia="Calibri" w:hAnsi="Calibri" w:cs="Calibri"/>
          <w:bCs/>
          <w:i/>
          <w:iCs/>
          <w:sz w:val="24"/>
          <w:szCs w:val="24"/>
        </w:rPr>
        <w:t>,</w:t>
      </w:r>
      <w:r w:rsidRPr="00A8745D">
        <w:rPr>
          <w:rFonts w:ascii="Calibri" w:eastAsia="Calibri" w:hAnsi="Calibri" w:cs="Calibri"/>
          <w:bCs/>
          <w:i/>
          <w:iCs/>
          <w:sz w:val="24"/>
          <w:szCs w:val="24"/>
        </w:rPr>
        <w:t xml:space="preserve"> bulimia czy bigoreksja</w:t>
      </w:r>
      <w:r w:rsidRPr="00A8745D">
        <w:rPr>
          <w:rFonts w:ascii="Calibri" w:eastAsia="Calibri" w:hAnsi="Calibri" w:cs="Calibri"/>
          <w:bCs/>
          <w:sz w:val="24"/>
          <w:szCs w:val="24"/>
        </w:rPr>
        <w:t>.</w:t>
      </w:r>
      <w:r w:rsidR="00A3281F" w:rsidRPr="00A8745D">
        <w:rPr>
          <w:rFonts w:ascii="Calibri" w:eastAsia="Calibri" w:hAnsi="Calibri" w:cs="Calibri"/>
          <w:bCs/>
          <w:sz w:val="24"/>
          <w:szCs w:val="24"/>
        </w:rPr>
        <w:t xml:space="preserve">” – </w:t>
      </w:r>
      <w:r w:rsidR="00BA05C3" w:rsidRPr="00A8745D">
        <w:rPr>
          <w:rFonts w:ascii="Calibri" w:eastAsia="Calibri" w:hAnsi="Calibri" w:cs="Calibri"/>
          <w:bCs/>
          <w:sz w:val="24"/>
          <w:szCs w:val="24"/>
        </w:rPr>
        <w:t>komentuje</w:t>
      </w:r>
      <w:r w:rsidR="00A3281F" w:rsidRPr="00A8745D">
        <w:rPr>
          <w:rFonts w:ascii="Calibri" w:eastAsia="Calibri" w:hAnsi="Calibri" w:cs="Calibri"/>
          <w:bCs/>
          <w:sz w:val="24"/>
          <w:szCs w:val="24"/>
        </w:rPr>
        <w:t xml:space="preserve"> dietetyk kliniczna i założycielka </w:t>
      </w:r>
      <w:proofErr w:type="spellStart"/>
      <w:r w:rsidR="00A3281F" w:rsidRPr="00A8745D">
        <w:rPr>
          <w:rFonts w:ascii="Calibri" w:eastAsia="Calibri" w:hAnsi="Calibri" w:cs="Calibri"/>
          <w:bCs/>
          <w:sz w:val="24"/>
          <w:szCs w:val="24"/>
        </w:rPr>
        <w:t>MajAcademy</w:t>
      </w:r>
      <w:proofErr w:type="spellEnd"/>
      <w:r w:rsidR="00A3281F" w:rsidRPr="00A8745D">
        <w:rPr>
          <w:rFonts w:ascii="Calibri" w:eastAsia="Calibri" w:hAnsi="Calibri" w:cs="Calibri"/>
          <w:bCs/>
          <w:sz w:val="24"/>
          <w:szCs w:val="24"/>
        </w:rPr>
        <w:t xml:space="preserve"> Roksana Środa.  </w:t>
      </w:r>
    </w:p>
    <w:p w14:paraId="20BC4114" w14:textId="10051F3A" w:rsidR="00722E2C" w:rsidRPr="00A8745D" w:rsidRDefault="00722E2C" w:rsidP="00A8745D">
      <w:pPr>
        <w:spacing w:before="120"/>
        <w:jc w:val="both"/>
        <w:rPr>
          <w:rFonts w:ascii="Calibri" w:eastAsia="Calibri" w:hAnsi="Calibri" w:cs="Calibri"/>
          <w:b/>
          <w:sz w:val="24"/>
          <w:szCs w:val="24"/>
        </w:rPr>
      </w:pPr>
      <w:r w:rsidRPr="00A8745D">
        <w:rPr>
          <w:rFonts w:ascii="Calibri" w:eastAsia="Calibri" w:hAnsi="Calibri" w:cs="Calibri"/>
          <w:b/>
          <w:sz w:val="24"/>
          <w:szCs w:val="24"/>
        </w:rPr>
        <w:t xml:space="preserve">W jaki sposób szkoła może pomagać unikać albo rozpoznać zaburzenia odżywiania we wczesnym wieku? </w:t>
      </w:r>
    </w:p>
    <w:p w14:paraId="71195848" w14:textId="64B41F16" w:rsidR="00722E2C" w:rsidRPr="00A8745D" w:rsidRDefault="00722E2C" w:rsidP="00A8745D">
      <w:pPr>
        <w:spacing w:before="120"/>
        <w:jc w:val="both"/>
        <w:rPr>
          <w:rFonts w:ascii="Calibri" w:eastAsia="Calibri" w:hAnsi="Calibri" w:cs="Calibri"/>
          <w:bCs/>
          <w:sz w:val="24"/>
          <w:szCs w:val="24"/>
        </w:rPr>
      </w:pPr>
      <w:r w:rsidRPr="00A8745D">
        <w:rPr>
          <w:rFonts w:ascii="Calibri" w:eastAsia="Calibri" w:hAnsi="Calibri" w:cs="Calibri"/>
          <w:bCs/>
          <w:sz w:val="24"/>
          <w:szCs w:val="24"/>
        </w:rPr>
        <w:t xml:space="preserve">Jak w każdej chorobie, tak również w przypadku zaburzeń odżywiania istotne znaczenie ma szybkie dostrzeżenie problemu oraz odpowiednia reakcja. Dlatego tak istotną rolę pełni szkoła, która może pomagać rodzicom unikać lub też rozpoznawać zaburzenia odżywiania u dzieci i młodzieży. </w:t>
      </w:r>
      <w:r w:rsidR="00BA05C3" w:rsidRPr="00A8745D">
        <w:rPr>
          <w:rFonts w:ascii="Calibri" w:eastAsia="Calibri" w:hAnsi="Calibri" w:cs="Calibri"/>
          <w:bCs/>
          <w:sz w:val="24"/>
          <w:szCs w:val="24"/>
        </w:rPr>
        <w:t>„</w:t>
      </w:r>
      <w:r w:rsidRPr="00A8745D">
        <w:rPr>
          <w:rFonts w:ascii="Calibri" w:eastAsia="Calibri" w:hAnsi="Calibri" w:cs="Calibri"/>
          <w:bCs/>
          <w:i/>
          <w:iCs/>
          <w:sz w:val="24"/>
          <w:szCs w:val="24"/>
        </w:rPr>
        <w:t xml:space="preserve">Już na etapie nauczania wczesnoszkolnego nauczyciele są, bowiem w stanie zauważyć niepokojące zachowania ze strony dzieci, związane z unikaniem jedzenia posiłków – czy to tych przenoszonych z domu, czy też na stołówce szkolnej. Jeśli dodatkowo wiąże się to z niską wagą dziecka, a ponadto występują niepokojące zachowania i dziecko np. zwraca szczególną uwagę na swoją sylwetkę i poświęca cały swój czas na analizowanie tego </w:t>
      </w:r>
      <w:r w:rsidRPr="00A8745D">
        <w:rPr>
          <w:rFonts w:ascii="Calibri" w:eastAsia="Calibri" w:hAnsi="Calibri" w:cs="Calibri"/>
          <w:bCs/>
          <w:i/>
          <w:iCs/>
          <w:sz w:val="24"/>
          <w:szCs w:val="24"/>
        </w:rPr>
        <w:lastRenderedPageBreak/>
        <w:t>zagadnienia to jest to ważny sygnał dla nauczycieli rodziców</w:t>
      </w:r>
      <w:r w:rsidR="00BA05C3" w:rsidRPr="00A8745D">
        <w:rPr>
          <w:rFonts w:ascii="Calibri" w:eastAsia="Calibri" w:hAnsi="Calibri" w:cs="Calibri"/>
          <w:bCs/>
          <w:sz w:val="24"/>
          <w:szCs w:val="24"/>
        </w:rPr>
        <w:t>”</w:t>
      </w:r>
      <w:r w:rsidRPr="00A8745D">
        <w:rPr>
          <w:rFonts w:ascii="Calibri" w:eastAsia="Calibri" w:hAnsi="Calibri" w:cs="Calibri"/>
          <w:bCs/>
          <w:sz w:val="24"/>
          <w:szCs w:val="24"/>
        </w:rPr>
        <w:t>.</w:t>
      </w:r>
      <w:r w:rsidR="00BA05C3" w:rsidRPr="00A8745D">
        <w:rPr>
          <w:rFonts w:ascii="Calibri" w:eastAsia="Calibri" w:hAnsi="Calibri" w:cs="Calibri"/>
          <w:bCs/>
          <w:sz w:val="24"/>
          <w:szCs w:val="24"/>
        </w:rPr>
        <w:t xml:space="preserve"> – zauważa założycielka </w:t>
      </w:r>
      <w:proofErr w:type="spellStart"/>
      <w:r w:rsidR="00BA05C3" w:rsidRPr="00A8745D">
        <w:rPr>
          <w:rFonts w:ascii="Calibri" w:eastAsia="Calibri" w:hAnsi="Calibri" w:cs="Calibri"/>
          <w:bCs/>
          <w:sz w:val="24"/>
          <w:szCs w:val="24"/>
        </w:rPr>
        <w:t>MajAcademy</w:t>
      </w:r>
      <w:proofErr w:type="spellEnd"/>
      <w:r w:rsidR="00BA05C3" w:rsidRPr="00A8745D">
        <w:rPr>
          <w:rFonts w:ascii="Calibri" w:eastAsia="Calibri" w:hAnsi="Calibri" w:cs="Calibri"/>
          <w:bCs/>
          <w:sz w:val="24"/>
          <w:szCs w:val="24"/>
        </w:rPr>
        <w:t>.</w:t>
      </w:r>
      <w:r w:rsidRPr="00A8745D">
        <w:rPr>
          <w:rFonts w:ascii="Calibri" w:eastAsia="Calibri" w:hAnsi="Calibri" w:cs="Calibri"/>
          <w:bCs/>
          <w:sz w:val="24"/>
          <w:szCs w:val="24"/>
        </w:rPr>
        <w:t xml:space="preserve"> Może to bowiem świadczyć o problemach z odżywianiem. </w:t>
      </w:r>
      <w:r w:rsidR="00BA05C3" w:rsidRPr="00A8745D">
        <w:rPr>
          <w:rFonts w:ascii="Calibri" w:eastAsia="Calibri" w:hAnsi="Calibri" w:cs="Calibri"/>
          <w:bCs/>
          <w:sz w:val="24"/>
          <w:szCs w:val="24"/>
        </w:rPr>
        <w:t>Warto,</w:t>
      </w:r>
      <w:r w:rsidRPr="00A8745D">
        <w:rPr>
          <w:rFonts w:ascii="Calibri" w:eastAsia="Calibri" w:hAnsi="Calibri" w:cs="Calibri"/>
          <w:bCs/>
          <w:sz w:val="24"/>
          <w:szCs w:val="24"/>
        </w:rPr>
        <w:t xml:space="preserve"> aby w takiej sytuacji to nauczyciele i rodzice pierwsi zareagowali i postanowili porozmawiać z dzieckiem, ponieważ problemy zaburzenia, w tym tak poważne choroby jak anoreksja czy bulimia są na tyle trudne do zrozumienia dla dziecka, że często nie jest ono w stanie samodzielnie dostrzec problemu lub zaakceptować go.</w:t>
      </w:r>
    </w:p>
    <w:p w14:paraId="745CAEF3" w14:textId="1A281D9F" w:rsidR="00722E2C" w:rsidRPr="00A8745D" w:rsidRDefault="00722E2C" w:rsidP="00A8745D">
      <w:pPr>
        <w:spacing w:before="120"/>
        <w:jc w:val="both"/>
        <w:rPr>
          <w:rFonts w:ascii="Calibri" w:eastAsia="Calibri" w:hAnsi="Calibri" w:cs="Calibri"/>
          <w:bCs/>
          <w:sz w:val="24"/>
          <w:szCs w:val="24"/>
        </w:rPr>
      </w:pPr>
      <w:r w:rsidRPr="00A8745D">
        <w:rPr>
          <w:rFonts w:ascii="Calibri" w:eastAsia="Calibri" w:hAnsi="Calibri" w:cs="Calibri"/>
          <w:bCs/>
          <w:sz w:val="24"/>
          <w:szCs w:val="24"/>
        </w:rPr>
        <w:t>Jak wskazuje dietetyk kliniczn</w:t>
      </w:r>
      <w:r w:rsidR="003D12DA" w:rsidRPr="00A8745D">
        <w:rPr>
          <w:rFonts w:ascii="Calibri" w:eastAsia="Calibri" w:hAnsi="Calibri" w:cs="Calibri"/>
          <w:bCs/>
          <w:sz w:val="24"/>
          <w:szCs w:val="24"/>
        </w:rPr>
        <w:t>a</w:t>
      </w:r>
      <w:r w:rsidRPr="00A8745D">
        <w:rPr>
          <w:rFonts w:ascii="Calibri" w:eastAsia="Calibri" w:hAnsi="Calibri" w:cs="Calibri"/>
          <w:bCs/>
          <w:sz w:val="24"/>
          <w:szCs w:val="24"/>
        </w:rPr>
        <w:t xml:space="preserve"> Roksana Środa</w:t>
      </w:r>
      <w:r w:rsidR="00BA05C3" w:rsidRPr="00A8745D">
        <w:rPr>
          <w:rFonts w:ascii="Calibri" w:eastAsia="Calibri" w:hAnsi="Calibri" w:cs="Calibri"/>
          <w:bCs/>
          <w:sz w:val="24"/>
          <w:szCs w:val="24"/>
        </w:rPr>
        <w:t>,</w:t>
      </w:r>
      <w:r w:rsidRPr="00A8745D">
        <w:rPr>
          <w:rFonts w:ascii="Calibri" w:eastAsia="Calibri" w:hAnsi="Calibri" w:cs="Calibri"/>
          <w:bCs/>
          <w:sz w:val="24"/>
          <w:szCs w:val="24"/>
        </w:rPr>
        <w:t xml:space="preserve"> </w:t>
      </w:r>
      <w:r w:rsidR="003D12DA" w:rsidRPr="00A8745D">
        <w:rPr>
          <w:rFonts w:ascii="Calibri" w:eastAsia="Calibri" w:hAnsi="Calibri" w:cs="Calibri"/>
          <w:bCs/>
          <w:sz w:val="24"/>
          <w:szCs w:val="24"/>
        </w:rPr>
        <w:t>a</w:t>
      </w:r>
      <w:r w:rsidRPr="00A8745D">
        <w:rPr>
          <w:rFonts w:ascii="Calibri" w:eastAsia="Calibri" w:hAnsi="Calibri" w:cs="Calibri"/>
          <w:bCs/>
          <w:sz w:val="24"/>
          <w:szCs w:val="24"/>
        </w:rPr>
        <w:t>noreksja SIBO, IBS i PCOS są bowiem "chorobami samotników", a obecnie wiele dzieci nieświadomie wpada w pułapkę tych chorób. Dietetyk R. Środa zna tę sytuację, ponieważ sama w okresie szkolnym zmagała się z problemami odżywiania i przy wzroście 170 cm ważyła zaledwie 36 kg. Jak wskazuje</w:t>
      </w:r>
      <w:r w:rsidR="00BA05C3" w:rsidRPr="00A8745D">
        <w:rPr>
          <w:rFonts w:ascii="Calibri" w:eastAsia="Calibri" w:hAnsi="Calibri" w:cs="Calibri"/>
          <w:bCs/>
          <w:sz w:val="24"/>
          <w:szCs w:val="24"/>
        </w:rPr>
        <w:t xml:space="preserve"> dietetyk kliniczna</w:t>
      </w:r>
      <w:r w:rsidRPr="00A8745D">
        <w:rPr>
          <w:rFonts w:ascii="Calibri" w:eastAsia="Calibri" w:hAnsi="Calibri" w:cs="Calibri"/>
          <w:bCs/>
          <w:sz w:val="24"/>
          <w:szCs w:val="24"/>
        </w:rPr>
        <w:t xml:space="preserve">: </w:t>
      </w:r>
      <w:r w:rsidR="00BA05C3" w:rsidRPr="00A8745D">
        <w:rPr>
          <w:rFonts w:ascii="Calibri" w:eastAsia="Calibri" w:hAnsi="Calibri" w:cs="Calibri"/>
          <w:bCs/>
          <w:sz w:val="24"/>
          <w:szCs w:val="24"/>
        </w:rPr>
        <w:t>„</w:t>
      </w:r>
      <w:r w:rsidR="00BA05C3" w:rsidRPr="00A8745D">
        <w:rPr>
          <w:rFonts w:ascii="Calibri" w:eastAsia="Calibri" w:hAnsi="Calibri" w:cs="Calibri"/>
          <w:bCs/>
          <w:i/>
          <w:iCs/>
          <w:sz w:val="24"/>
          <w:szCs w:val="24"/>
        </w:rPr>
        <w:t>W</w:t>
      </w:r>
      <w:r w:rsidRPr="00A8745D">
        <w:rPr>
          <w:rFonts w:ascii="Calibri" w:eastAsia="Calibri" w:hAnsi="Calibri" w:cs="Calibri"/>
          <w:bCs/>
          <w:i/>
          <w:iCs/>
          <w:sz w:val="24"/>
          <w:szCs w:val="24"/>
        </w:rPr>
        <w:t xml:space="preserve"> przypadku dzieci i młodzieży wszystko kręci się wokół jedzenia, wokół tego, co zrobić, żeby nic nie jeść, co zrobić, żeby nikt się nie zorientował</w:t>
      </w:r>
      <w:r w:rsidR="003D12DA" w:rsidRPr="00A8745D">
        <w:rPr>
          <w:rFonts w:ascii="Calibri" w:eastAsia="Calibri" w:hAnsi="Calibri" w:cs="Calibri"/>
          <w:bCs/>
          <w:i/>
          <w:iCs/>
          <w:sz w:val="24"/>
          <w:szCs w:val="24"/>
        </w:rPr>
        <w:t xml:space="preserve">. </w:t>
      </w:r>
      <w:r w:rsidRPr="00A8745D">
        <w:rPr>
          <w:rFonts w:ascii="Calibri" w:eastAsia="Calibri" w:hAnsi="Calibri" w:cs="Calibri"/>
          <w:bCs/>
          <w:i/>
          <w:iCs/>
          <w:sz w:val="24"/>
          <w:szCs w:val="24"/>
        </w:rPr>
        <w:t>Ta choroba to samotność, bo żeby uniknąć kontroli czy niewygodnych pytań, chory musi się izolować od ludzi. Rodzinny obiad, święta u babci czy wyjście do kina nieodłącznie związane były z jedzeniem, więc wciąż musiałam szukać wymówek, by w tych spotkaniach nie uczestniczyć wcale</w:t>
      </w:r>
      <w:r w:rsidRPr="00A8745D">
        <w:rPr>
          <w:rFonts w:ascii="Calibri" w:eastAsia="Calibri" w:hAnsi="Calibri" w:cs="Calibri"/>
          <w:bCs/>
          <w:sz w:val="24"/>
          <w:szCs w:val="24"/>
        </w:rPr>
        <w:t>.</w:t>
      </w:r>
    </w:p>
    <w:p w14:paraId="6B8DF180" w14:textId="77777777" w:rsidR="00722E2C" w:rsidRPr="00A8745D" w:rsidRDefault="00722E2C" w:rsidP="00A8745D">
      <w:pPr>
        <w:spacing w:before="120"/>
        <w:jc w:val="both"/>
        <w:rPr>
          <w:rFonts w:ascii="Calibri" w:eastAsia="Calibri" w:hAnsi="Calibri" w:cs="Calibri"/>
          <w:b/>
          <w:sz w:val="24"/>
          <w:szCs w:val="24"/>
        </w:rPr>
      </w:pPr>
      <w:r w:rsidRPr="00A8745D">
        <w:rPr>
          <w:rFonts w:ascii="Calibri" w:eastAsia="Calibri" w:hAnsi="Calibri" w:cs="Calibri"/>
          <w:b/>
          <w:sz w:val="24"/>
          <w:szCs w:val="24"/>
        </w:rPr>
        <w:t>Edukacja żywieniowa dzieci i dorosłych - dlaczego jest to tak ważny temat?</w:t>
      </w:r>
    </w:p>
    <w:p w14:paraId="00530ED8" w14:textId="77777777" w:rsidR="003D12DA" w:rsidRPr="00A8745D" w:rsidRDefault="00722E2C" w:rsidP="00A8745D">
      <w:pPr>
        <w:spacing w:before="120"/>
        <w:jc w:val="both"/>
        <w:rPr>
          <w:rFonts w:ascii="Calibri" w:eastAsia="Calibri" w:hAnsi="Calibri" w:cs="Calibri"/>
          <w:bCs/>
          <w:sz w:val="24"/>
          <w:szCs w:val="24"/>
        </w:rPr>
      </w:pPr>
      <w:r w:rsidRPr="00A8745D">
        <w:rPr>
          <w:rFonts w:ascii="Calibri" w:eastAsia="Calibri" w:hAnsi="Calibri" w:cs="Calibri"/>
          <w:bCs/>
          <w:sz w:val="24"/>
          <w:szCs w:val="24"/>
        </w:rPr>
        <w:t xml:space="preserve">Edukacja żywieniowa u dzieci i młodzieży, jak i osób dorosłych ma bardzo ważne znaczenie, ponieważ pozwala wcześnie rozpoznać zaburzenia odżywiania i rozpocząć terapię. To istotne, ponieważ nieleczona anoreksja lub np. bulimia z biegiem czasu stają się chorobami przewlekłymi, których objawy powodują znaczne ograniczenia życiowe i wpływają również na sferę kontaktów społecznych. </w:t>
      </w:r>
    </w:p>
    <w:p w14:paraId="3F76A2C0" w14:textId="5B0258EC" w:rsidR="00722E2C" w:rsidRPr="00A8745D" w:rsidRDefault="00722E2C" w:rsidP="00A8745D">
      <w:pPr>
        <w:spacing w:before="120"/>
        <w:jc w:val="both"/>
        <w:rPr>
          <w:rFonts w:ascii="Calibri" w:eastAsia="Calibri" w:hAnsi="Calibri" w:cs="Calibri"/>
          <w:bCs/>
          <w:sz w:val="24"/>
          <w:szCs w:val="24"/>
        </w:rPr>
      </w:pPr>
      <w:r w:rsidRPr="00A8745D">
        <w:rPr>
          <w:rFonts w:ascii="Calibri" w:eastAsia="Calibri" w:hAnsi="Calibri" w:cs="Calibri"/>
          <w:bCs/>
          <w:sz w:val="24"/>
          <w:szCs w:val="24"/>
        </w:rPr>
        <w:t xml:space="preserve">Chory na anoreksję może unikać imprez </w:t>
      </w:r>
      <w:r w:rsidR="003D12DA" w:rsidRPr="00A8745D">
        <w:rPr>
          <w:rFonts w:ascii="Calibri" w:eastAsia="Calibri" w:hAnsi="Calibri" w:cs="Calibri"/>
          <w:bCs/>
          <w:sz w:val="24"/>
          <w:szCs w:val="24"/>
        </w:rPr>
        <w:t>szkolnych,</w:t>
      </w:r>
      <w:r w:rsidRPr="00A8745D">
        <w:rPr>
          <w:rFonts w:ascii="Calibri" w:eastAsia="Calibri" w:hAnsi="Calibri" w:cs="Calibri"/>
          <w:bCs/>
          <w:sz w:val="24"/>
          <w:szCs w:val="24"/>
        </w:rPr>
        <w:t xml:space="preserve"> aby nie jeść i nie korzystać z poczęstunków. Co więcej, osoby chore mogą też szukać kontaktu z innymi chorymi, którzy znają ich problem i identyfikują się z nim, co utwierdza ich w przekonaniu, że nie robią nic złego. Dlatego istnieje potrzeba rozmawiania o problemach zaburzeń odżywiania dzieci i dorosłych w szkołach, np. podczas zajęć z wychowawcami klas lub z pedagogiem szkolnym. </w:t>
      </w:r>
    </w:p>
    <w:p w14:paraId="53F8F209" w14:textId="77777777" w:rsidR="003D12DA" w:rsidRPr="00A8745D" w:rsidRDefault="00722E2C" w:rsidP="00A8745D">
      <w:pPr>
        <w:spacing w:before="120"/>
        <w:jc w:val="both"/>
        <w:rPr>
          <w:rFonts w:ascii="Calibri" w:eastAsia="Calibri" w:hAnsi="Calibri" w:cs="Calibri"/>
          <w:bCs/>
          <w:sz w:val="24"/>
          <w:szCs w:val="24"/>
        </w:rPr>
      </w:pPr>
      <w:r w:rsidRPr="00A8745D">
        <w:rPr>
          <w:rFonts w:ascii="Calibri" w:eastAsia="Calibri" w:hAnsi="Calibri" w:cs="Calibri"/>
          <w:bCs/>
          <w:sz w:val="24"/>
          <w:szCs w:val="24"/>
        </w:rPr>
        <w:t xml:space="preserve">Potwierdza to dietetyk </w:t>
      </w:r>
      <w:r w:rsidR="003D12DA" w:rsidRPr="00A8745D">
        <w:rPr>
          <w:rFonts w:ascii="Calibri" w:eastAsia="Calibri" w:hAnsi="Calibri" w:cs="Calibri"/>
          <w:bCs/>
          <w:sz w:val="24"/>
          <w:szCs w:val="24"/>
        </w:rPr>
        <w:t xml:space="preserve">Roksana Środa i </w:t>
      </w:r>
      <w:r w:rsidRPr="00A8745D">
        <w:rPr>
          <w:rFonts w:ascii="Calibri" w:eastAsia="Calibri" w:hAnsi="Calibri" w:cs="Calibri"/>
          <w:bCs/>
          <w:sz w:val="24"/>
          <w:szCs w:val="24"/>
        </w:rPr>
        <w:t>wskazuje</w:t>
      </w:r>
      <w:r w:rsidR="003D12DA" w:rsidRPr="00A8745D">
        <w:rPr>
          <w:rFonts w:ascii="Calibri" w:eastAsia="Calibri" w:hAnsi="Calibri" w:cs="Calibri"/>
          <w:bCs/>
          <w:sz w:val="24"/>
          <w:szCs w:val="24"/>
        </w:rPr>
        <w:t>, że</w:t>
      </w:r>
      <w:r w:rsidRPr="00A8745D">
        <w:rPr>
          <w:rFonts w:ascii="Calibri" w:eastAsia="Calibri" w:hAnsi="Calibri" w:cs="Calibri"/>
          <w:bCs/>
          <w:sz w:val="24"/>
          <w:szCs w:val="24"/>
        </w:rPr>
        <w:t xml:space="preserve"> </w:t>
      </w:r>
      <w:r w:rsidR="003D12DA" w:rsidRPr="00A8745D">
        <w:rPr>
          <w:rFonts w:ascii="Calibri" w:eastAsia="Calibri" w:hAnsi="Calibri" w:cs="Calibri"/>
          <w:bCs/>
          <w:sz w:val="24"/>
          <w:szCs w:val="24"/>
        </w:rPr>
        <w:t>„</w:t>
      </w:r>
      <w:r w:rsidR="003D12DA" w:rsidRPr="00A8745D">
        <w:rPr>
          <w:rFonts w:ascii="Calibri" w:eastAsia="Calibri" w:hAnsi="Calibri" w:cs="Calibri"/>
          <w:bCs/>
          <w:i/>
          <w:iCs/>
          <w:sz w:val="24"/>
          <w:szCs w:val="24"/>
        </w:rPr>
        <w:t xml:space="preserve">Jak pokazują badania, dużo wyższą </w:t>
      </w:r>
      <w:r w:rsidRPr="00A8745D">
        <w:rPr>
          <w:rFonts w:ascii="Calibri" w:eastAsia="Calibri" w:hAnsi="Calibri" w:cs="Calibri"/>
          <w:bCs/>
          <w:i/>
          <w:iCs/>
          <w:sz w:val="24"/>
          <w:szCs w:val="24"/>
        </w:rPr>
        <w:t xml:space="preserve">wysoką skuteczność terapii w przypadku zaburzeń odżywiania dzieci i młodzieży </w:t>
      </w:r>
      <w:r w:rsidR="003D12DA" w:rsidRPr="00A8745D">
        <w:rPr>
          <w:rFonts w:ascii="Calibri" w:eastAsia="Calibri" w:hAnsi="Calibri" w:cs="Calibri"/>
          <w:bCs/>
          <w:i/>
          <w:iCs/>
          <w:sz w:val="24"/>
          <w:szCs w:val="24"/>
        </w:rPr>
        <w:t xml:space="preserve">zyskujemy </w:t>
      </w:r>
      <w:r w:rsidRPr="00A8745D">
        <w:rPr>
          <w:rFonts w:ascii="Calibri" w:eastAsia="Calibri" w:hAnsi="Calibri" w:cs="Calibri"/>
          <w:bCs/>
          <w:i/>
          <w:iCs/>
          <w:sz w:val="24"/>
          <w:szCs w:val="24"/>
        </w:rPr>
        <w:t xml:space="preserve">w </w:t>
      </w:r>
      <w:r w:rsidR="003D12DA" w:rsidRPr="00A8745D">
        <w:rPr>
          <w:rFonts w:ascii="Calibri" w:eastAsia="Calibri" w:hAnsi="Calibri" w:cs="Calibri"/>
          <w:bCs/>
          <w:i/>
          <w:iCs/>
          <w:sz w:val="24"/>
          <w:szCs w:val="24"/>
        </w:rPr>
        <w:t>sytuacji,</w:t>
      </w:r>
      <w:r w:rsidRPr="00A8745D">
        <w:rPr>
          <w:rFonts w:ascii="Calibri" w:eastAsia="Calibri" w:hAnsi="Calibri" w:cs="Calibri"/>
          <w:bCs/>
          <w:i/>
          <w:iCs/>
          <w:sz w:val="24"/>
          <w:szCs w:val="24"/>
        </w:rPr>
        <w:t xml:space="preserve"> gdy leczenie rozpoczyna się w już w pierwszym roku trwania choroby. Wówczas, możliwość powrotu do zdrowia wynosi aż 80%.</w:t>
      </w:r>
      <w:r w:rsidR="003D12DA" w:rsidRPr="00A8745D">
        <w:rPr>
          <w:rFonts w:ascii="Calibri" w:eastAsia="Calibri" w:hAnsi="Calibri" w:cs="Calibri"/>
          <w:bCs/>
          <w:i/>
          <w:iCs/>
          <w:sz w:val="24"/>
          <w:szCs w:val="24"/>
          <w:vertAlign w:val="superscript"/>
        </w:rPr>
        <w:t>2</w:t>
      </w:r>
      <w:r w:rsidRPr="00A8745D">
        <w:rPr>
          <w:rFonts w:ascii="Calibri" w:eastAsia="Calibri" w:hAnsi="Calibri" w:cs="Calibri"/>
          <w:bCs/>
          <w:i/>
          <w:iCs/>
          <w:sz w:val="24"/>
          <w:szCs w:val="24"/>
        </w:rPr>
        <w:t xml:space="preserve"> Gdy jednak leczenie rozpoczyna się po ponad roku trwania choroby to jest to już tylko 50. Z kolei wieloletnie nieleczenie bulimii czy anoreksji powoduje, że staje się ona chorobą przewlekłą i bardzo trudną do wyleczenia, co w praktyce udaje się co ok. 5 pacjentowi</w:t>
      </w:r>
      <w:r w:rsidR="003D12DA" w:rsidRPr="00A8745D">
        <w:rPr>
          <w:rFonts w:ascii="Calibri" w:eastAsia="Calibri" w:hAnsi="Calibri" w:cs="Calibri"/>
          <w:bCs/>
          <w:i/>
          <w:iCs/>
          <w:sz w:val="24"/>
          <w:szCs w:val="24"/>
          <w:vertAlign w:val="superscript"/>
        </w:rPr>
        <w:t>2</w:t>
      </w:r>
      <w:r w:rsidRPr="00A8745D">
        <w:rPr>
          <w:rFonts w:ascii="Calibri" w:eastAsia="Calibri" w:hAnsi="Calibri" w:cs="Calibri"/>
          <w:bCs/>
          <w:sz w:val="24"/>
          <w:szCs w:val="24"/>
        </w:rPr>
        <w:t>.</w:t>
      </w:r>
      <w:r w:rsidR="003D12DA" w:rsidRPr="00A8745D">
        <w:rPr>
          <w:rFonts w:ascii="Calibri" w:eastAsia="Calibri" w:hAnsi="Calibri" w:cs="Calibri"/>
          <w:bCs/>
          <w:sz w:val="24"/>
          <w:szCs w:val="24"/>
        </w:rPr>
        <w:t>”</w:t>
      </w:r>
      <w:r w:rsidRPr="00A8745D">
        <w:rPr>
          <w:rFonts w:ascii="Calibri" w:eastAsia="Calibri" w:hAnsi="Calibri" w:cs="Calibri"/>
          <w:bCs/>
          <w:sz w:val="24"/>
          <w:szCs w:val="24"/>
        </w:rPr>
        <w:t xml:space="preserve"> </w:t>
      </w:r>
    </w:p>
    <w:p w14:paraId="705BD35A" w14:textId="7B9231EF" w:rsidR="00722E2C" w:rsidRPr="00A8745D" w:rsidRDefault="003D12DA" w:rsidP="00A8745D">
      <w:pPr>
        <w:spacing w:before="120"/>
        <w:jc w:val="both"/>
        <w:rPr>
          <w:rFonts w:ascii="Calibri" w:eastAsia="Calibri" w:hAnsi="Calibri" w:cs="Calibri"/>
          <w:bCs/>
          <w:sz w:val="24"/>
          <w:szCs w:val="24"/>
        </w:rPr>
      </w:pPr>
      <w:r w:rsidRPr="00A8745D">
        <w:rPr>
          <w:rFonts w:ascii="Calibri" w:eastAsia="Calibri" w:hAnsi="Calibri" w:cs="Calibri"/>
          <w:bCs/>
          <w:sz w:val="24"/>
          <w:szCs w:val="24"/>
        </w:rPr>
        <w:t>W</w:t>
      </w:r>
      <w:r w:rsidR="00722E2C" w:rsidRPr="00A8745D">
        <w:rPr>
          <w:rFonts w:ascii="Calibri" w:eastAsia="Calibri" w:hAnsi="Calibri" w:cs="Calibri"/>
          <w:bCs/>
          <w:sz w:val="24"/>
          <w:szCs w:val="24"/>
        </w:rPr>
        <w:t xml:space="preserve">arto rozmawiać o zaburzeniach odżywiania również w szkole, zapoznając uczniów z tym problemem i dając możliwość szybkiej reakcji w </w:t>
      </w:r>
      <w:r w:rsidRPr="00A8745D">
        <w:rPr>
          <w:rFonts w:ascii="Calibri" w:eastAsia="Calibri" w:hAnsi="Calibri" w:cs="Calibri"/>
          <w:bCs/>
          <w:sz w:val="24"/>
          <w:szCs w:val="24"/>
        </w:rPr>
        <w:t>sytuacji,</w:t>
      </w:r>
      <w:r w:rsidR="00722E2C" w:rsidRPr="00A8745D">
        <w:rPr>
          <w:rFonts w:ascii="Calibri" w:eastAsia="Calibri" w:hAnsi="Calibri" w:cs="Calibri"/>
          <w:bCs/>
          <w:sz w:val="24"/>
          <w:szCs w:val="24"/>
        </w:rPr>
        <w:t xml:space="preserve"> gdy zaobserwują u siebie lub u rówieśników poważne problemy zdrowotne. </w:t>
      </w:r>
    </w:p>
    <w:p w14:paraId="78B77168" w14:textId="1DE5F3CC" w:rsidR="00722E2C" w:rsidRPr="00A8745D" w:rsidRDefault="00722E2C" w:rsidP="00A8745D">
      <w:pPr>
        <w:spacing w:before="120"/>
        <w:jc w:val="both"/>
        <w:rPr>
          <w:rFonts w:ascii="Calibri" w:eastAsia="Calibri" w:hAnsi="Calibri" w:cs="Calibri"/>
          <w:bCs/>
          <w:sz w:val="24"/>
          <w:szCs w:val="24"/>
        </w:rPr>
      </w:pPr>
      <w:r w:rsidRPr="00A8745D">
        <w:rPr>
          <w:rFonts w:ascii="Calibri" w:eastAsia="Calibri" w:hAnsi="Calibri" w:cs="Calibri"/>
          <w:bCs/>
          <w:sz w:val="24"/>
          <w:szCs w:val="24"/>
        </w:rPr>
        <w:t xml:space="preserve"> </w:t>
      </w:r>
    </w:p>
    <w:p w14:paraId="30869918" w14:textId="77777777" w:rsidR="00722E2C" w:rsidRPr="00A8745D" w:rsidRDefault="00722E2C" w:rsidP="00A8745D">
      <w:pPr>
        <w:spacing w:before="120"/>
        <w:jc w:val="both"/>
        <w:rPr>
          <w:rFonts w:ascii="Calibri" w:eastAsia="Calibri" w:hAnsi="Calibri" w:cs="Calibri"/>
          <w:bCs/>
          <w:sz w:val="14"/>
          <w:szCs w:val="14"/>
        </w:rPr>
      </w:pPr>
      <w:r w:rsidRPr="00A8745D">
        <w:rPr>
          <w:rFonts w:ascii="Calibri" w:eastAsia="Calibri" w:hAnsi="Calibri" w:cs="Calibri"/>
          <w:bCs/>
          <w:sz w:val="14"/>
          <w:szCs w:val="14"/>
        </w:rPr>
        <w:t>Źródła:</w:t>
      </w:r>
    </w:p>
    <w:p w14:paraId="36AC005E" w14:textId="03ECE8D2" w:rsidR="00722E2C" w:rsidRPr="00A8745D" w:rsidRDefault="00722E2C" w:rsidP="00A8745D">
      <w:pPr>
        <w:spacing w:before="120"/>
        <w:jc w:val="both"/>
        <w:rPr>
          <w:rFonts w:ascii="Calibri" w:eastAsia="Calibri" w:hAnsi="Calibri" w:cs="Calibri"/>
          <w:bCs/>
          <w:sz w:val="14"/>
          <w:szCs w:val="14"/>
        </w:rPr>
      </w:pPr>
      <w:r w:rsidRPr="00A8745D">
        <w:rPr>
          <w:rFonts w:ascii="Calibri" w:eastAsia="Calibri" w:hAnsi="Calibri" w:cs="Calibri"/>
          <w:bCs/>
          <w:sz w:val="14"/>
          <w:szCs w:val="14"/>
        </w:rPr>
        <w:t xml:space="preserve">1. Wesoła B., Tyle czasu dzieci spędzają w szkole. Ile godzin tygodniowo uczniowie siedzą w ławkach i o której kończą lekcje na różnych etapach edukacji, https://strefaedukacji.pl/tyle-czasu-dzieci-spedzaja-w-szkole-ile-godzin-tygodniowo-uczniowie-siedza-w-lawkach-i-o-ktorej-koncza-lekcje-na-roznych/ar/c5-16700407, dostęp: 7.09.2022 r. </w:t>
      </w:r>
    </w:p>
    <w:p w14:paraId="40A58812" w14:textId="77777777" w:rsidR="003D12DA" w:rsidRPr="00A8745D" w:rsidRDefault="00722E2C" w:rsidP="00A8745D">
      <w:pPr>
        <w:spacing w:before="120"/>
        <w:jc w:val="both"/>
        <w:rPr>
          <w:rFonts w:ascii="Calibri" w:eastAsia="Calibri" w:hAnsi="Calibri" w:cs="Calibri"/>
          <w:bCs/>
          <w:sz w:val="14"/>
          <w:szCs w:val="14"/>
        </w:rPr>
      </w:pPr>
      <w:r w:rsidRPr="00A8745D">
        <w:rPr>
          <w:rFonts w:ascii="Calibri" w:eastAsia="Calibri" w:hAnsi="Calibri" w:cs="Calibri"/>
          <w:bCs/>
          <w:sz w:val="14"/>
          <w:szCs w:val="14"/>
        </w:rPr>
        <w:t xml:space="preserve">2. Jabłońska E., </w:t>
      </w:r>
      <w:proofErr w:type="spellStart"/>
      <w:r w:rsidRPr="00A8745D">
        <w:rPr>
          <w:rFonts w:ascii="Calibri" w:eastAsia="Calibri" w:hAnsi="Calibri" w:cs="Calibri"/>
          <w:bCs/>
          <w:sz w:val="14"/>
          <w:szCs w:val="14"/>
        </w:rPr>
        <w:t>Błądkowska</w:t>
      </w:r>
      <w:proofErr w:type="spellEnd"/>
      <w:r w:rsidRPr="00A8745D">
        <w:rPr>
          <w:rFonts w:ascii="Calibri" w:eastAsia="Calibri" w:hAnsi="Calibri" w:cs="Calibri"/>
          <w:bCs/>
          <w:sz w:val="14"/>
          <w:szCs w:val="14"/>
        </w:rPr>
        <w:t xml:space="preserve"> K., </w:t>
      </w:r>
      <w:proofErr w:type="spellStart"/>
      <w:r w:rsidRPr="00A8745D">
        <w:rPr>
          <w:rFonts w:ascii="Calibri" w:eastAsia="Calibri" w:hAnsi="Calibri" w:cs="Calibri"/>
          <w:bCs/>
          <w:sz w:val="14"/>
          <w:szCs w:val="14"/>
        </w:rPr>
        <w:t>Bronkowska</w:t>
      </w:r>
      <w:proofErr w:type="spellEnd"/>
      <w:r w:rsidRPr="00A8745D">
        <w:rPr>
          <w:rFonts w:ascii="Calibri" w:eastAsia="Calibri" w:hAnsi="Calibri" w:cs="Calibri"/>
          <w:bCs/>
          <w:sz w:val="14"/>
          <w:szCs w:val="14"/>
        </w:rPr>
        <w:t xml:space="preserve"> M., Zaburzenia odżywiania jako problem zdrowotny i psychospołeczny, Katedra Żywienia Człowieka</w:t>
      </w:r>
      <w:r w:rsidR="003D12DA" w:rsidRPr="00A8745D">
        <w:rPr>
          <w:rFonts w:ascii="Calibri" w:eastAsia="Calibri" w:hAnsi="Calibri" w:cs="Calibri"/>
          <w:bCs/>
          <w:sz w:val="14"/>
          <w:szCs w:val="14"/>
        </w:rPr>
        <w:t xml:space="preserve"> </w:t>
      </w:r>
      <w:r w:rsidRPr="00A8745D">
        <w:rPr>
          <w:rFonts w:ascii="Calibri" w:eastAsia="Calibri" w:hAnsi="Calibri" w:cs="Calibri"/>
          <w:bCs/>
          <w:sz w:val="14"/>
          <w:szCs w:val="14"/>
        </w:rPr>
        <w:t xml:space="preserve">Uniwersytet Przyrodniczy we Wrocławiu, [w:] "Kosmos. Problemy nauk biologicznych", Tom 68, nr 1(322), s. 124, cyt. za: file:///C:/Users/Ja/Downloads/mbasaj,+%7B$userGroup%7D,+Jablonska1.pdf, dostęp: 7.09.2022 r. </w:t>
      </w:r>
      <w:r w:rsidR="003D12DA" w:rsidRPr="00A8745D">
        <w:rPr>
          <w:rFonts w:ascii="Calibri" w:eastAsia="Calibri" w:hAnsi="Calibri" w:cs="Calibri"/>
          <w:bCs/>
          <w:sz w:val="14"/>
          <w:szCs w:val="14"/>
        </w:rPr>
        <w:t xml:space="preserve"> </w:t>
      </w:r>
    </w:p>
    <w:p w14:paraId="7FB00600" w14:textId="6E8D5FEA" w:rsidR="00722E2C" w:rsidRPr="00A8745D" w:rsidRDefault="00722E2C" w:rsidP="00A8745D">
      <w:pPr>
        <w:spacing w:before="120"/>
        <w:jc w:val="both"/>
        <w:rPr>
          <w:rFonts w:ascii="Calibri" w:eastAsia="Calibri" w:hAnsi="Calibri" w:cs="Calibri"/>
          <w:bCs/>
          <w:sz w:val="14"/>
          <w:szCs w:val="14"/>
        </w:rPr>
      </w:pPr>
      <w:r w:rsidRPr="00A8745D">
        <w:rPr>
          <w:rFonts w:ascii="Calibri" w:eastAsia="Calibri" w:hAnsi="Calibri" w:cs="Calibri"/>
          <w:bCs/>
          <w:sz w:val="14"/>
          <w:szCs w:val="14"/>
        </w:rPr>
        <w:lastRenderedPageBreak/>
        <w:t xml:space="preserve">3. Rozprawy Naukowe Akademii Wychowania Fizycznego we Wrocławiu, Akademia Wychowania Fizycznego we Wrocławiu, nr 39, s. 9., cyt. za: https://citeseerx.ist.psu.edu/viewdoc/download?doi=10.1.1.467.2786&amp;rep=rep1&amp;type=pdf, dostęp: 7.09.2022 r. </w:t>
      </w:r>
    </w:p>
    <w:p w14:paraId="3CE2A33D" w14:textId="77777777" w:rsidR="00A8745D" w:rsidRPr="00A8745D" w:rsidRDefault="00A8745D" w:rsidP="00A8745D">
      <w:pPr>
        <w:spacing w:before="120"/>
        <w:jc w:val="both"/>
        <w:rPr>
          <w:rFonts w:ascii="Calibri" w:eastAsia="Calibri" w:hAnsi="Calibri" w:cs="Calibri"/>
          <w:bCs/>
          <w:sz w:val="24"/>
          <w:szCs w:val="24"/>
        </w:rPr>
      </w:pPr>
    </w:p>
    <w:p w14:paraId="28825236" w14:textId="7696456A" w:rsidR="00004FC8" w:rsidRPr="00A8745D" w:rsidRDefault="00000000" w:rsidP="00A8745D">
      <w:pPr>
        <w:spacing w:before="120"/>
        <w:jc w:val="both"/>
        <w:rPr>
          <w:sz w:val="24"/>
          <w:szCs w:val="24"/>
        </w:rPr>
      </w:pPr>
      <w:r w:rsidRPr="00A8745D">
        <w:rPr>
          <w:rFonts w:ascii="Calibri" w:eastAsia="Calibri" w:hAnsi="Calibri" w:cs="Calibri"/>
          <w:sz w:val="24"/>
          <w:szCs w:val="24"/>
        </w:rPr>
        <w:t> </w:t>
      </w:r>
      <w:r w:rsidR="00004FC8" w:rsidRPr="00A8745D">
        <w:rPr>
          <w:sz w:val="24"/>
          <w:szCs w:val="24"/>
        </w:rPr>
        <w:t>---------------------------------------------------------------------------------------------------------------</w:t>
      </w:r>
    </w:p>
    <w:p w14:paraId="2A989D69" w14:textId="77777777" w:rsidR="00004FC8" w:rsidRPr="00A8745D" w:rsidRDefault="00004FC8" w:rsidP="00A8745D">
      <w:pPr>
        <w:spacing w:before="120"/>
        <w:jc w:val="both"/>
        <w:rPr>
          <w:sz w:val="24"/>
          <w:szCs w:val="24"/>
        </w:rPr>
      </w:pPr>
    </w:p>
    <w:p w14:paraId="3BDB9D09" w14:textId="77777777" w:rsidR="00004FC8" w:rsidRPr="00A8745D" w:rsidRDefault="00004FC8" w:rsidP="00A8745D">
      <w:pPr>
        <w:spacing w:before="120"/>
        <w:jc w:val="both"/>
        <w:rPr>
          <w:b/>
          <w:bCs/>
          <w:sz w:val="24"/>
          <w:szCs w:val="24"/>
        </w:rPr>
      </w:pPr>
      <w:r w:rsidRPr="00A8745D">
        <w:rPr>
          <w:b/>
          <w:bCs/>
          <w:sz w:val="24"/>
          <w:szCs w:val="24"/>
        </w:rPr>
        <w:t>Kontakt dla mediów</w:t>
      </w:r>
    </w:p>
    <w:p w14:paraId="73243E94" w14:textId="77777777" w:rsidR="00004FC8" w:rsidRPr="00A8745D" w:rsidRDefault="00004FC8" w:rsidP="00A8745D">
      <w:pPr>
        <w:spacing w:before="120"/>
        <w:jc w:val="both"/>
        <w:rPr>
          <w:sz w:val="24"/>
          <w:szCs w:val="24"/>
        </w:rPr>
      </w:pPr>
      <w:r w:rsidRPr="00A8745D">
        <w:rPr>
          <w:sz w:val="24"/>
          <w:szCs w:val="24"/>
        </w:rPr>
        <w:t xml:space="preserve">Patrycja Ogrodnik </w:t>
      </w:r>
    </w:p>
    <w:p w14:paraId="5081AB93" w14:textId="77777777" w:rsidR="00004FC8" w:rsidRPr="00A8745D" w:rsidRDefault="00004FC8" w:rsidP="00A8745D">
      <w:pPr>
        <w:spacing w:before="120"/>
        <w:jc w:val="both"/>
        <w:rPr>
          <w:sz w:val="24"/>
          <w:szCs w:val="24"/>
        </w:rPr>
      </w:pPr>
      <w:r w:rsidRPr="00A8745D">
        <w:rPr>
          <w:sz w:val="24"/>
          <w:szCs w:val="24"/>
        </w:rPr>
        <w:t>PR Manager</w:t>
      </w:r>
    </w:p>
    <w:p w14:paraId="19A01154" w14:textId="77777777" w:rsidR="00004FC8" w:rsidRPr="00A8745D" w:rsidRDefault="00000000" w:rsidP="00A8745D">
      <w:pPr>
        <w:spacing w:before="120"/>
        <w:jc w:val="both"/>
        <w:rPr>
          <w:sz w:val="24"/>
          <w:szCs w:val="24"/>
        </w:rPr>
      </w:pPr>
      <w:hyperlink r:id="rId7" w:history="1">
        <w:r w:rsidR="00004FC8" w:rsidRPr="00A8745D">
          <w:rPr>
            <w:rStyle w:val="Hipercze"/>
            <w:sz w:val="24"/>
            <w:szCs w:val="24"/>
          </w:rPr>
          <w:t>p.ogrodnik@commplace.com.pl</w:t>
        </w:r>
      </w:hyperlink>
    </w:p>
    <w:p w14:paraId="33295736" w14:textId="562CC531" w:rsidR="005A34ED" w:rsidRPr="00004FC8" w:rsidRDefault="00004FC8" w:rsidP="00A8745D">
      <w:pPr>
        <w:spacing w:before="120"/>
        <w:jc w:val="both"/>
        <w:rPr>
          <w:sz w:val="24"/>
          <w:szCs w:val="24"/>
        </w:rPr>
      </w:pPr>
      <w:r w:rsidRPr="00A8745D">
        <w:rPr>
          <w:sz w:val="24"/>
          <w:szCs w:val="24"/>
        </w:rPr>
        <w:t>tel. 692 333 175</w:t>
      </w:r>
    </w:p>
    <w:sectPr w:rsidR="005A34ED" w:rsidRPr="00004FC8">
      <w:headerReference w:type="default" r:id="rId8"/>
      <w:pgSz w:w="11905" w:h="16837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644EF" w14:textId="77777777" w:rsidR="00F86C64" w:rsidRDefault="00F86C64">
      <w:r>
        <w:separator/>
      </w:r>
    </w:p>
  </w:endnote>
  <w:endnote w:type="continuationSeparator" w:id="0">
    <w:p w14:paraId="6BD0BB0E" w14:textId="77777777" w:rsidR="00F86C64" w:rsidRDefault="00F86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87E51" w14:textId="77777777" w:rsidR="00F86C64" w:rsidRDefault="00F86C64">
      <w:r>
        <w:separator/>
      </w:r>
    </w:p>
  </w:footnote>
  <w:footnote w:type="continuationSeparator" w:id="0">
    <w:p w14:paraId="15F11295" w14:textId="77777777" w:rsidR="00F86C64" w:rsidRDefault="00F86C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1AC3C" w14:textId="77777777" w:rsidR="005A34ED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58AD0356" wp14:editId="0065D476">
          <wp:extent cx="788852" cy="694190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88852" cy="6941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4ED"/>
    <w:rsid w:val="00004FC8"/>
    <w:rsid w:val="003D12DA"/>
    <w:rsid w:val="003D3444"/>
    <w:rsid w:val="00544648"/>
    <w:rsid w:val="005A34ED"/>
    <w:rsid w:val="005E7C3D"/>
    <w:rsid w:val="006B1CC5"/>
    <w:rsid w:val="007178C6"/>
    <w:rsid w:val="00722E2C"/>
    <w:rsid w:val="007F340D"/>
    <w:rsid w:val="00850FAB"/>
    <w:rsid w:val="008E7710"/>
    <w:rsid w:val="00936DEB"/>
    <w:rsid w:val="00967D02"/>
    <w:rsid w:val="009710AB"/>
    <w:rsid w:val="00A3281F"/>
    <w:rsid w:val="00A8745D"/>
    <w:rsid w:val="00BA05C3"/>
    <w:rsid w:val="00C51C17"/>
    <w:rsid w:val="00C56EB7"/>
    <w:rsid w:val="00C76948"/>
    <w:rsid w:val="00D2547A"/>
    <w:rsid w:val="00D75153"/>
    <w:rsid w:val="00E251B9"/>
    <w:rsid w:val="00EA64AE"/>
    <w:rsid w:val="00F2026F"/>
    <w:rsid w:val="00F55668"/>
    <w:rsid w:val="00F7124B"/>
    <w:rsid w:val="00F86C64"/>
    <w:rsid w:val="00F9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F66A3D2"/>
  <w15:docId w15:val="{0D8852F4-6C30-184D-ACCC-21FAF5B27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90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0920"/>
  </w:style>
  <w:style w:type="paragraph" w:styleId="Stopka">
    <w:name w:val="footer"/>
    <w:basedOn w:val="Normalny"/>
    <w:link w:val="StopkaZnak"/>
    <w:uiPriority w:val="99"/>
    <w:unhideWhenUsed/>
    <w:rsid w:val="007909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0920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004F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4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kHlBHbSaaKIayak647Vzgxah4RA==">AMUW2mWehA+Mj6qsjF+2Hp/juPBjTYb1dmT/Fk4GCfYot8tffgYqIahDL2CUBLRIrklRHdkX+42fZwh2wf6C/m6NIhEDRnja5Gcc0nkOUqhl3LY0ib8uDFo=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1077</Words>
  <Characters>6466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Patrycja Ogrodnik</cp:lastModifiedBy>
  <cp:revision>9</cp:revision>
  <dcterms:created xsi:type="dcterms:W3CDTF">2022-09-07T11:21:00Z</dcterms:created>
  <dcterms:modified xsi:type="dcterms:W3CDTF">2022-09-08T09:12:00Z</dcterms:modified>
</cp:coreProperties>
</file>