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F3943" w14:textId="77777777" w:rsidR="00933B87" w:rsidRDefault="00000000" w:rsidP="00316DEE">
      <w:pPr>
        <w:pStyle w:val="Nagwek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Eksport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>: czego zagraniczni klienci oczekują od polskich firm?</w:t>
      </w:r>
    </w:p>
    <w:p w14:paraId="316483E7" w14:textId="77777777" w:rsidR="00933B87" w:rsidRDefault="00000000" w:rsidP="00316DEE">
      <w:pPr>
        <w:pStyle w:val="NormalnyWeb"/>
        <w:spacing w:before="280" w:after="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Jeszcze kilka lat temu pochodzenie produktu z Europy Środkowo-Wschodniej bywało barierą zakupową na rynkach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. Dziś zagraniczni klienci – szczególnie w USA, Wielkiej Brytanii, Niemczech czy Szwajcarii – coraz rzadziej kupują „produkt z regionu”, a coraz częściej </w:t>
      </w:r>
      <w:r>
        <w:rPr>
          <w:rStyle w:val="Pogrubienie"/>
          <w:rFonts w:ascii="Calibri" w:hAnsi="Calibri" w:cs="Calibri"/>
          <w:b w:val="0"/>
          <w:bCs w:val="0"/>
        </w:rPr>
        <w:t>konkretne kompetencje producenta</w:t>
      </w:r>
      <w:r>
        <w:rPr>
          <w:rFonts w:ascii="Calibri" w:hAnsi="Calibri" w:cs="Calibri"/>
        </w:rPr>
        <w:t xml:space="preserve">: jakość rzemiosła, dojrzałość procesów, przewidywalność realizacji i wysoki standard obsługi. Zmiana ta jest szczególnie widoczna w branży meblarskiej oraz sektorach pokrewnych: luksusowych wnętrzach i produktach rzemieślniczych. To właśnie tam polskie firmy coraz częściej konkurują nie ceną, lecz </w:t>
      </w:r>
      <w:r>
        <w:rPr>
          <w:rStyle w:val="Pogrubienie"/>
          <w:rFonts w:ascii="Calibri" w:hAnsi="Calibri" w:cs="Calibri"/>
          <w:b w:val="0"/>
          <w:bCs w:val="0"/>
        </w:rPr>
        <w:t>wiarygodnością operacyjną</w:t>
      </w:r>
      <w:r>
        <w:rPr>
          <w:rFonts w:ascii="Calibri" w:hAnsi="Calibri" w:cs="Calibri"/>
          <w:b/>
          <w:bCs/>
        </w:rPr>
        <w:t>.</w:t>
      </w:r>
    </w:p>
    <w:p w14:paraId="7824F01C" w14:textId="77777777" w:rsidR="00933B87" w:rsidRDefault="00000000" w:rsidP="00316DEE">
      <w:pPr>
        <w:pStyle w:val="Nagwek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Polski eksport mebli: aktualny obraz rynku </w:t>
      </w:r>
    </w:p>
    <w:p w14:paraId="3C1C660C" w14:textId="77777777" w:rsidR="00933B87" w:rsidRDefault="00000000" w:rsidP="00316DEE">
      <w:pPr>
        <w:pStyle w:val="FirstParagraph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Według najnowszych danych ONZ COMTRADE, w 2024 r. wartość polskiego eksportu mebli i wyrobów pokrewnych wyniosła około </w:t>
      </w:r>
      <w:r>
        <w:rPr>
          <w:rStyle w:val="Pogrubienie"/>
          <w:rFonts w:ascii="Calibri" w:hAnsi="Calibri" w:cs="Calibri"/>
          <w:b w:val="0"/>
          <w:bCs w:val="0"/>
        </w:rPr>
        <w:t>17,63 mld USD</w:t>
      </w:r>
      <w:r>
        <w:rPr>
          <w:rStyle w:val="Zakotwiczenieprzypisudolnego"/>
          <w:rFonts w:ascii="Calibri" w:hAnsi="Calibri" w:cs="Calibri"/>
          <w:b/>
          <w:bCs/>
        </w:rPr>
        <w:footnoteReference w:id="1"/>
      </w:r>
      <w:r>
        <w:rPr>
          <w:rStyle w:val="Pogrubienie"/>
          <w:rFonts w:ascii="Calibri" w:hAnsi="Calibri" w:cs="Calibri"/>
          <w:b w:val="0"/>
          <w:bCs w:val="0"/>
        </w:rPr>
        <w:t>.</w:t>
      </w:r>
      <w:r>
        <w:rPr>
          <w:rStyle w:val="Pogrubienie"/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 I połowie 2025 r. eksport mebli z Polski wzrósł </w:t>
      </w:r>
      <w:r>
        <w:rPr>
          <w:rStyle w:val="Pogrubienie"/>
          <w:rFonts w:ascii="Calibri" w:hAnsi="Calibri" w:cs="Calibri"/>
          <w:b w:val="0"/>
          <w:bCs w:val="0"/>
        </w:rPr>
        <w:t>ok. +1% r/r</w:t>
      </w:r>
      <w:r>
        <w:rPr>
          <w:rFonts w:ascii="Calibri" w:hAnsi="Calibri" w:cs="Calibri"/>
        </w:rPr>
        <w:t xml:space="preserve">, co było najwyższym tempem wzrostu wśród pięciu największych eksporterów na świecie, mimo ogólnie słabego popytu zagranicznego. Poprzeczka natomiast jest zawieszona wysoko. </w:t>
      </w:r>
    </w:p>
    <w:p w14:paraId="2883A836" w14:textId="77777777" w:rsidR="00933B87" w:rsidRDefault="00000000" w:rsidP="00316DEE">
      <w:pPr>
        <w:pStyle w:val="FirstParagraph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Zagraniczni klienci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stawiają polskim dostawcom konkretne wymagania. W</w:t>
      </w:r>
      <w:r>
        <w:rPr>
          <w:rStyle w:val="Pogrubienie"/>
          <w:rFonts w:ascii="Calibri" w:hAnsi="Calibri" w:cs="Calibri"/>
          <w:b w:val="0"/>
          <w:bCs w:val="0"/>
        </w:rPr>
        <w:t>artość produktu definiuje nie jego cena, lecz sposób, w jaki powstaje i trafia do klienta</w:t>
      </w:r>
      <w:r>
        <w:rPr>
          <w:rFonts w:ascii="Calibri" w:hAnsi="Calibri" w:cs="Calibri"/>
        </w:rPr>
        <w:t xml:space="preserve">. To, że Polska utrzymała </w:t>
      </w:r>
      <w:r>
        <w:rPr>
          <w:rStyle w:val="Pogrubienie"/>
          <w:rFonts w:ascii="Calibri" w:hAnsi="Calibri" w:cs="Calibri"/>
          <w:b w:val="0"/>
          <w:bCs w:val="0"/>
        </w:rPr>
        <w:t>3. pozycję na świecie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wśród eksporterów mebli, tuż po Chinach i Niemczech</w:t>
      </w:r>
      <w:r>
        <w:rPr>
          <w:rStyle w:val="Zakotwiczenieprzypisudolnego"/>
          <w:rFonts w:ascii="Calibri" w:hAnsi="Calibri" w:cs="Calibri"/>
        </w:rPr>
        <w:footnoteReference w:id="2"/>
      </w:r>
      <w:r>
        <w:rPr>
          <w:rFonts w:ascii="Calibri" w:hAnsi="Calibri" w:cs="Calibri"/>
        </w:rPr>
        <w:t xml:space="preserve">, pokazuje jedno. Polskie firmy coraz skuteczniej odnajdują się w środowisku, w którym </w:t>
      </w:r>
      <w:r>
        <w:rPr>
          <w:rStyle w:val="Pogrubienie"/>
          <w:rFonts w:ascii="Calibri" w:hAnsi="Calibri" w:cs="Calibri"/>
          <w:b w:val="0"/>
          <w:bCs w:val="0"/>
        </w:rPr>
        <w:t>jakość procesu jest równie ważna jak jakość produktu</w:t>
      </w:r>
      <w:r>
        <w:rPr>
          <w:rFonts w:ascii="Calibri" w:hAnsi="Calibri" w:cs="Calibri"/>
          <w:b/>
          <w:bCs/>
        </w:rPr>
        <w:t>.</w:t>
      </w:r>
    </w:p>
    <w:p w14:paraId="5DD8EEE4" w14:textId="77777777" w:rsidR="00933B87" w:rsidRDefault="00000000" w:rsidP="00316DEE">
      <w:pPr>
        <w:pStyle w:val="Nagwek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Premium to proces, nie tylko design</w:t>
      </w:r>
    </w:p>
    <w:p w14:paraId="66518169" w14:textId="77777777" w:rsidR="00933B87" w:rsidRDefault="00000000" w:rsidP="00316DEE">
      <w:pPr>
        <w:pStyle w:val="NormalnyWeb"/>
        <w:spacing w:before="280" w:after="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 rynkach takich jak USA czy UK sam design przestaje być wyróżnikiem – dobry projekt jest dziś standardem. O przewadze decydują elementy „niewidoczne” na pierwszy rzut oka:</w:t>
      </w:r>
    </w:p>
    <w:p w14:paraId="5FDE7827" w14:textId="77777777" w:rsidR="00933B87" w:rsidRDefault="00000000" w:rsidP="00316DEE">
      <w:pPr>
        <w:pStyle w:val="NormalnyWeb"/>
        <w:numPr>
          <w:ilvl w:val="0"/>
          <w:numId w:val="1"/>
        </w:numPr>
        <w:spacing w:before="280"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stabilność terminów,</w:t>
      </w:r>
    </w:p>
    <w:p w14:paraId="74B4564B" w14:textId="77777777" w:rsidR="00933B87" w:rsidRDefault="00000000" w:rsidP="00316DEE">
      <w:pPr>
        <w:pStyle w:val="NormalnyWeb"/>
        <w:numPr>
          <w:ilvl w:val="0"/>
          <w:numId w:val="1"/>
        </w:num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powtarzalność jakości,</w:t>
      </w:r>
    </w:p>
    <w:p w14:paraId="455F6B30" w14:textId="77777777" w:rsidR="00933B87" w:rsidRDefault="00000000" w:rsidP="00316DEE">
      <w:pPr>
        <w:pStyle w:val="NormalnyWeb"/>
        <w:numPr>
          <w:ilvl w:val="0"/>
          <w:numId w:val="1"/>
        </w:num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transparentność komunikacji,</w:t>
      </w:r>
    </w:p>
    <w:p w14:paraId="789FF8A9" w14:textId="77777777" w:rsidR="00933B87" w:rsidRDefault="00000000" w:rsidP="00316DEE">
      <w:pPr>
        <w:pStyle w:val="NormalnyWeb"/>
        <w:numPr>
          <w:ilvl w:val="0"/>
          <w:numId w:val="1"/>
        </w:num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umiejętność pracy na indywidualnym zamówieniu,</w:t>
      </w:r>
    </w:p>
    <w:p w14:paraId="2C135EA3" w14:textId="77777777" w:rsidR="00933B87" w:rsidRDefault="00000000" w:rsidP="00316DEE">
      <w:pPr>
        <w:pStyle w:val="NormalnyWeb"/>
        <w:numPr>
          <w:ilvl w:val="0"/>
          <w:numId w:val="1"/>
        </w:numPr>
        <w:spacing w:after="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gotowość do ponoszenia odpowiedzialności za cały proces – od projektu po montaż.</w:t>
      </w:r>
    </w:p>
    <w:p w14:paraId="7E2254C6" w14:textId="77777777" w:rsidR="00933B87" w:rsidRDefault="00000000" w:rsidP="00316DEE">
      <w:pPr>
        <w:pStyle w:val="NormalnyWeb"/>
        <w:spacing w:before="280" w:after="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Jak podkreśla </w:t>
      </w:r>
      <w:r>
        <w:rPr>
          <w:rStyle w:val="whitespace-normal"/>
          <w:rFonts w:ascii="Calibri" w:eastAsiaTheme="majorEastAsia" w:hAnsi="Calibri" w:cs="Calibri"/>
        </w:rPr>
        <w:t>Adrian Halupczok</w:t>
      </w:r>
      <w:r>
        <w:rPr>
          <w:rFonts w:ascii="Calibri" w:hAnsi="Calibri" w:cs="Calibri"/>
        </w:rPr>
        <w:t xml:space="preserve">, założyciel i właściciel marki </w:t>
      </w:r>
      <w:r>
        <w:rPr>
          <w:rStyle w:val="whitespace-normal"/>
          <w:rFonts w:ascii="Calibri" w:eastAsiaTheme="majorEastAsia" w:hAnsi="Calibri" w:cs="Calibri"/>
        </w:rPr>
        <w:t>Halupczok</w:t>
      </w:r>
      <w:r>
        <w:rPr>
          <w:rFonts w:ascii="Calibri" w:hAnsi="Calibri" w:cs="Calibri"/>
        </w:rPr>
        <w:t xml:space="preserve">, </w:t>
      </w:r>
      <w:r>
        <w:rPr>
          <w:rStyle w:val="Wyrnienie"/>
          <w:rFonts w:ascii="Calibri" w:hAnsi="Calibri" w:cs="Calibri"/>
          <w:i w:val="0"/>
          <w:iCs w:val="0"/>
        </w:rPr>
        <w:t xml:space="preserve">na rynkach </w:t>
      </w:r>
      <w:proofErr w:type="spellStart"/>
      <w:r>
        <w:rPr>
          <w:rStyle w:val="Wyrnienie"/>
          <w:rFonts w:ascii="Calibri" w:hAnsi="Calibri" w:cs="Calibri"/>
          <w:i w:val="0"/>
          <w:iCs w:val="0"/>
        </w:rPr>
        <w:t>premium</w:t>
      </w:r>
      <w:proofErr w:type="spellEnd"/>
      <w:r>
        <w:rPr>
          <w:rStyle w:val="Wyrnienie"/>
          <w:rFonts w:ascii="Calibri" w:hAnsi="Calibri" w:cs="Calibri"/>
          <w:i w:val="0"/>
          <w:iCs w:val="0"/>
        </w:rPr>
        <w:t xml:space="preserve"> nikt nie kupuje dziś samego produktu.</w:t>
      </w:r>
      <w:r>
        <w:rPr>
          <w:rStyle w:val="Wyrnienie"/>
          <w:rFonts w:ascii="Calibri" w:hAnsi="Calibri" w:cs="Calibri"/>
        </w:rPr>
        <w:t xml:space="preserve"> – Kupuje się spokój decyzyjny – pewność, że realizacja będzie zgodna z ustaleniami, że jakość będzie powtarzalna, a producent weźmie odpowiedzialność za każdy etap procesu. To jest prawdziwa waluta w eksporcie. </w:t>
      </w:r>
    </w:p>
    <w:p w14:paraId="061B2DAA" w14:textId="77777777" w:rsidR="00933B87" w:rsidRDefault="00000000" w:rsidP="00316DEE">
      <w:pPr>
        <w:pStyle w:val="Nagwek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Rzemiosło + skala = nowa przewaga Polski</w:t>
      </w:r>
    </w:p>
    <w:p w14:paraId="5BB37E71" w14:textId="77777777" w:rsidR="00933B87" w:rsidRDefault="00000000" w:rsidP="00316DEE">
      <w:pPr>
        <w:pStyle w:val="NormalnyWeb"/>
        <w:spacing w:before="280" w:after="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Jednym z najmocniejszych atutów polskich producentów jest połączenie </w:t>
      </w:r>
      <w:r>
        <w:rPr>
          <w:rStyle w:val="Pogrubienie"/>
          <w:rFonts w:ascii="Calibri" w:hAnsi="Calibri" w:cs="Calibri"/>
          <w:b w:val="0"/>
          <w:bCs w:val="0"/>
        </w:rPr>
        <w:t xml:space="preserve">rzemieślniczej precyzji z przemysłową </w:t>
      </w:r>
      <w:r>
        <w:rPr>
          <w:rFonts w:ascii="Calibri" w:hAnsi="Calibri" w:cs="Calibri"/>
        </w:rPr>
        <w:t xml:space="preserve">organizacją produkcji. Dla klientów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oznacza to możliwość realizacji projektów szytych na miarę, przy zachowaniu pełnej przewidywalności realizacji.</w:t>
      </w:r>
    </w:p>
    <w:p w14:paraId="10068AEC" w14:textId="77777777" w:rsidR="00933B87" w:rsidRDefault="00000000" w:rsidP="00316DEE">
      <w:pPr>
        <w:pStyle w:val="NormalnyWeb"/>
        <w:spacing w:before="280" w:after="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 danych branżowych wynika, że </w:t>
      </w:r>
      <w:r>
        <w:rPr>
          <w:rStyle w:val="Pogrubienie"/>
          <w:rFonts w:ascii="Calibri" w:hAnsi="Calibri" w:cs="Calibri"/>
          <w:b w:val="0"/>
          <w:bCs w:val="0"/>
        </w:rPr>
        <w:t xml:space="preserve">zagraniczni klienci segmentu </w:t>
      </w:r>
      <w:proofErr w:type="spellStart"/>
      <w:r>
        <w:rPr>
          <w:rStyle w:val="Pogrubienie"/>
          <w:rFonts w:ascii="Calibri" w:hAnsi="Calibri" w:cs="Calibri"/>
          <w:b w:val="0"/>
          <w:bCs w:val="0"/>
        </w:rPr>
        <w:t>premium</w:t>
      </w:r>
      <w:proofErr w:type="spellEnd"/>
      <w:r>
        <w:rPr>
          <w:rStyle w:val="Pogrubienie"/>
          <w:rFonts w:ascii="Calibri" w:hAnsi="Calibri" w:cs="Calibri"/>
          <w:b w:val="0"/>
          <w:bCs w:val="0"/>
        </w:rPr>
        <w:t xml:space="preserve"> oczekują możliwości</w:t>
      </w:r>
      <w:r>
        <w:rPr>
          <w:rStyle w:val="Pogrubienie"/>
          <w:rFonts w:ascii="Calibri" w:hAnsi="Calibri" w:cs="Calibri"/>
        </w:rPr>
        <w:t xml:space="preserve"> </w:t>
      </w:r>
      <w:r>
        <w:rPr>
          <w:rStyle w:val="Pogrubienie"/>
          <w:rFonts w:ascii="Calibri" w:hAnsi="Calibri" w:cs="Calibri"/>
          <w:b w:val="0"/>
          <w:bCs w:val="0"/>
        </w:rPr>
        <w:t>personalizacji produktu</w:t>
      </w:r>
      <w:r>
        <w:rPr>
          <w:rFonts w:ascii="Calibri" w:hAnsi="Calibri" w:cs="Calibri"/>
        </w:rPr>
        <w:t>. Poza tym przywiązują wagę do pochodzenia materiałów (certyfikowane drewno, kamień naturalny, trwałe wykończenia). Rośnie także znaczenie informacji o tym, jak produkt będzie się starzał – trwałość zaczyna być ważniejsza niż pierwsze wrażenie.</w:t>
      </w:r>
    </w:p>
    <w:p w14:paraId="660C395A" w14:textId="77777777" w:rsidR="00933B87" w:rsidRDefault="00000000" w:rsidP="00316DEE">
      <w:pPr>
        <w:pStyle w:val="NormalnyWeb"/>
        <w:spacing w:before="280" w:after="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– To dokładnie te obszary, w którym polskie firmy – szczególnie z branży meblarskiej – są w stanie konkurować z markami z Włoch czy Niemiec, oferując </w:t>
      </w:r>
      <w:r>
        <w:rPr>
          <w:rStyle w:val="Pogrubienie"/>
          <w:rFonts w:ascii="Calibri" w:hAnsi="Calibri" w:cs="Calibri"/>
          <w:b w:val="0"/>
          <w:bCs w:val="0"/>
        </w:rPr>
        <w:t>porównywalną jakość przy większej elastyczności projektowej</w:t>
      </w:r>
      <w:r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</w:rPr>
        <w:t xml:space="preserve">– zauważa </w:t>
      </w:r>
      <w:r>
        <w:rPr>
          <w:rStyle w:val="whitespace-normal"/>
          <w:rFonts w:ascii="Calibri" w:eastAsiaTheme="majorEastAsia" w:hAnsi="Calibri" w:cs="Calibri"/>
        </w:rPr>
        <w:t xml:space="preserve">Adrian Halupczok. – </w:t>
      </w:r>
      <w:r>
        <w:rPr>
          <w:rFonts w:ascii="Calibri" w:hAnsi="Calibri" w:cs="Calibri"/>
        </w:rPr>
        <w:t xml:space="preserve">Polscy producenci inwestują w nowoczesne parki maszynowe i własne zaplecza magazynowe, by kontrolować cały proces realizacji: krótsze łańcuchy i własna logistyka pozwalają szybko odpowiadać na zmiany zamówienia. Jesteśmy tego świadomi, czego dowodem jest nasza ostatnia inwestycja w duży zakład obróbki kamienia oraz nową halę produkcyjno-magazynową, co pozwoliło nam skrócić czas realizacji i poprawiło przewidywalność dostaw.  – dodaje. </w:t>
      </w:r>
    </w:p>
    <w:p w14:paraId="7E0125AE" w14:textId="77777777" w:rsidR="00933B87" w:rsidRDefault="00000000" w:rsidP="00316DEE">
      <w:pPr>
        <w:pStyle w:val="Nagwek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Klient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chce mieć partnera, nie tylko dostawcę</w:t>
      </w:r>
    </w:p>
    <w:p w14:paraId="0D0F8B4F" w14:textId="77777777" w:rsidR="00933B87" w:rsidRDefault="00000000" w:rsidP="00316DE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segmencie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sprzedaż coraz rzadziej ma charakter jednorazowej transakcji. Zamiast tego cenione są długoterminowe relacje i kompleksowa obsługa. Polscy eksporterzy rozwijają sprzedaż online i e-commerce – zapakowane w paczki meble o wysokim standardzie jakości docierają do klientów na całym świecie. Właściciel marki Halupczok podkreśla przy tym, że klient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nie zawsze jest tym, kto wydaje najwięcej, ale tym, kto najlepiej wie, czego chce. Dlatego satysfakcja, terminowość i transparentna współpraca budują przewagę konkurencyjną.</w:t>
      </w:r>
    </w:p>
    <w:p w14:paraId="28601C5C" w14:textId="77777777" w:rsidR="00933B87" w:rsidRDefault="00000000" w:rsidP="00316DEE">
      <w:pPr>
        <w:pStyle w:val="Tekstpodstawowy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Podsumowując, dla rynków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coraz mniej liczy się ogólna przynależność do „Europy Wschodniej” – klienci zagraniczni chcą konkretów. Oczekują, że polskie firmy dowiodą swojej wartości realnymi kompetencjami, a nie tylko niską ceną. Liczą na jakość, terminowość i osobiste zaangażowanie. Sukces osiągają producenci, których kultura działania jest oparta na precyzji, zaufaniu i partnerskiej obsłudze. To właśnie umiejętność połączenia mistrzostwa rękodzieła z elastycznym podejściem do klienta daje polskim firmom szansę zdobycia i utrzymania lojalności najbardziej wymagających odbiorców.</w:t>
      </w:r>
    </w:p>
    <w:p w14:paraId="0A2CB3EA" w14:textId="77777777" w:rsidR="00933B87" w:rsidRDefault="00933B87" w:rsidP="00316DEE">
      <w:pPr>
        <w:jc w:val="both"/>
        <w:rPr>
          <w:rFonts w:ascii="Calibri" w:hAnsi="Calibri" w:cs="Calibri"/>
        </w:rPr>
      </w:pPr>
      <w:bookmarkStart w:id="0" w:name="content"/>
      <w:bookmarkStart w:id="1" w:name="Xf376f71cc791e76868380ade7dcf40bb252a48c"/>
      <w:bookmarkEnd w:id="0"/>
      <w:bookmarkEnd w:id="1"/>
    </w:p>
    <w:sectPr w:rsidR="00933B87">
      <w:footnotePr>
        <w:numRestart w:val="eachSect"/>
      </w:footnotePr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0B922" w14:textId="77777777" w:rsidR="004543DC" w:rsidRDefault="004543DC">
      <w:pPr>
        <w:spacing w:after="0"/>
      </w:pPr>
      <w:r>
        <w:separator/>
      </w:r>
    </w:p>
  </w:endnote>
  <w:endnote w:type="continuationSeparator" w:id="0">
    <w:p w14:paraId="4EEF480F" w14:textId="77777777" w:rsidR="004543DC" w:rsidRDefault="004543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8D04F" w14:textId="77777777" w:rsidR="004543DC" w:rsidRDefault="004543DC">
      <w:pPr>
        <w:rPr>
          <w:sz w:val="12"/>
        </w:rPr>
      </w:pPr>
      <w:r>
        <w:separator/>
      </w:r>
    </w:p>
  </w:footnote>
  <w:footnote w:type="continuationSeparator" w:id="0">
    <w:p w14:paraId="4A2D761F" w14:textId="77777777" w:rsidR="004543DC" w:rsidRDefault="004543DC">
      <w:pPr>
        <w:rPr>
          <w:sz w:val="12"/>
        </w:rPr>
      </w:pPr>
      <w:r>
        <w:continuationSeparator/>
      </w:r>
    </w:p>
  </w:footnote>
  <w:footnote w:id="1">
    <w:p w14:paraId="6510603B" w14:textId="77777777" w:rsidR="00933B87" w:rsidRDefault="00000000">
      <w:pPr>
        <w:pStyle w:val="Tekstprzypisudolnego"/>
        <w:spacing w:after="0"/>
        <w:rPr>
          <w:sz w:val="20"/>
          <w:szCs w:val="20"/>
          <w:lang w:val="pl-PL"/>
        </w:rPr>
      </w:pPr>
      <w:r>
        <w:rPr>
          <w:rStyle w:val="Znakiprzypiswdolnych"/>
        </w:rPr>
        <w:footnoteRef/>
      </w:r>
      <w:r>
        <w:rPr>
          <w:sz w:val="20"/>
          <w:szCs w:val="20"/>
        </w:rPr>
        <w:t xml:space="preserve"> https://tradingeconomics.com/poland/exports/furniture-lighting-signs-prefabricated-buildings</w:t>
      </w:r>
    </w:p>
  </w:footnote>
  <w:footnote w:id="2">
    <w:p w14:paraId="40489997" w14:textId="77777777" w:rsidR="00933B87" w:rsidRDefault="00000000">
      <w:pPr>
        <w:pStyle w:val="Tekstprzypisudolnego"/>
        <w:spacing w:after="0"/>
        <w:rPr>
          <w:sz w:val="20"/>
          <w:szCs w:val="20"/>
          <w:lang w:val="pl-PL"/>
        </w:rPr>
      </w:pPr>
      <w:r>
        <w:rPr>
          <w:rStyle w:val="Znakiprzypiswdolnych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pl-PL"/>
        </w:rPr>
        <w:t>Kompendium polskie meble, Polski Fundusz Rozwoju, https://pfr.pl/document/2713?utm_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22F9D"/>
    <w:multiLevelType w:val="multilevel"/>
    <w:tmpl w:val="9B5A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DB186B"/>
    <w:multiLevelType w:val="multilevel"/>
    <w:tmpl w:val="E44E23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29022594">
    <w:abstractNumId w:val="0"/>
  </w:num>
  <w:num w:numId="2" w16cid:durableId="570427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embedSystemFonts/>
  <w:proofState w:spelling="clean"/>
  <w:defaultTabStop w:val="720"/>
  <w:autoHyphenation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B87"/>
    <w:rsid w:val="00316DEE"/>
    <w:rsid w:val="003A5749"/>
    <w:rsid w:val="004543DC"/>
    <w:rsid w:val="0093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887A"/>
  <w15:docId w15:val="{15D2F85A-D4D8-4F77-A6E4-57FB5AB1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after="200"/>
    </w:pPr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A10FD9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10FD9"/>
    <w:rPr>
      <w:rFonts w:eastAsiaTheme="majorEastAsia" w:cstheme="majorBidi"/>
      <w:color w:val="272727" w:themeColor="text1" w:themeTint="D8"/>
    </w:rPr>
  </w:style>
  <w:style w:type="character" w:customStyle="1" w:styleId="LegendaZnak">
    <w:name w:val="Legenda Znak"/>
    <w:basedOn w:val="Domylnaczcionkaakapitu"/>
    <w:link w:val="Legenda"/>
    <w:qFormat/>
  </w:style>
  <w:style w:type="character" w:customStyle="1" w:styleId="VerbatimChar">
    <w:name w:val="Verbatim Char"/>
    <w:basedOn w:val="LegendaZnak"/>
    <w:link w:val="SourceCode"/>
    <w:qFormat/>
    <w:rPr>
      <w:rFonts w:ascii="Consolas" w:hAnsi="Consolas"/>
      <w:sz w:val="22"/>
    </w:rPr>
  </w:style>
  <w:style w:type="character" w:customStyle="1" w:styleId="SectionNumber">
    <w:name w:val="Section Number"/>
    <w:basedOn w:val="LegendaZnak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LegendaZnak"/>
    <w:qFormat/>
    <w:rPr>
      <w:vertAlign w:val="superscript"/>
    </w:rPr>
  </w:style>
  <w:style w:type="character" w:customStyle="1" w:styleId="czeinternetowe">
    <w:name w:val="Łącze internetowe"/>
    <w:basedOn w:val="LegendaZnak"/>
    <w:rPr>
      <w:color w:val="156082" w:themeColor="accent1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qFormat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qFormat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qFormat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qFormat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qFormat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qFormat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qFormat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qFormat/>
    <w:rPr>
      <w:rFonts w:ascii="Consolas" w:hAnsi="Consolas"/>
      <w:sz w:val="22"/>
    </w:rPr>
  </w:style>
  <w:style w:type="character" w:styleId="Pogrubienie">
    <w:name w:val="Strong"/>
    <w:basedOn w:val="Domylnaczcionkaakapitu"/>
    <w:uiPriority w:val="22"/>
    <w:qFormat/>
    <w:rsid w:val="003B4220"/>
    <w:rPr>
      <w:b/>
      <w:bCs/>
    </w:rPr>
  </w:style>
  <w:style w:type="character" w:customStyle="1" w:styleId="whitespace-normal">
    <w:name w:val="whitespace-normal"/>
    <w:basedOn w:val="Domylnaczcionkaakapitu"/>
    <w:qFormat/>
    <w:rsid w:val="003B4220"/>
  </w:style>
  <w:style w:type="character" w:customStyle="1" w:styleId="Wyrnienie">
    <w:name w:val="Wyróżnienie"/>
    <w:basedOn w:val="Domylnaczcionkaakapitu"/>
    <w:uiPriority w:val="20"/>
    <w:qFormat/>
    <w:rsid w:val="003B4220"/>
    <w:rPr>
      <w:i/>
      <w:iCs/>
    </w:rPr>
  </w:style>
  <w:style w:type="character" w:customStyle="1" w:styleId="Odwiedzoneczeinternetowe">
    <w:name w:val="Odwiedzone łącze internetowe"/>
    <w:basedOn w:val="Domylnaczcionkaakapitu"/>
    <w:rsid w:val="007A48EA"/>
    <w:rPr>
      <w:color w:val="96607D" w:themeColor="followed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qFormat/>
    <w:pPr>
      <w:spacing w:before="180" w:after="18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link w:val="LegendaZnak"/>
    <w:qFormat/>
    <w:pPr>
      <w:spacing w:after="120"/>
    </w:pPr>
    <w:rPr>
      <w:i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rPr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spacing w:after="200"/>
      <w:jc w:val="center"/>
    </w:pPr>
  </w:style>
  <w:style w:type="paragraph" w:styleId="Data">
    <w:name w:val="Date"/>
    <w:next w:val="Tekstpodstawowy"/>
    <w:qFormat/>
    <w:pPr>
      <w:keepNext/>
      <w:keepLines/>
      <w:spacing w:after="200"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paragraph" w:customStyle="1" w:styleId="DefinitionTerm">
    <w:name w:val="Definition Term"/>
    <w:basedOn w:val="Normalny"/>
    <w:next w:val="Definition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  <w:qFormat/>
  </w:style>
  <w:style w:type="paragraph" w:customStyle="1" w:styleId="TableCaption">
    <w:name w:val="Table Caption"/>
    <w:basedOn w:val="Legenda"/>
    <w:qFormat/>
    <w:pPr>
      <w:keepNext/>
    </w:pPr>
  </w:style>
  <w:style w:type="paragraph" w:customStyle="1" w:styleId="ImageCaption">
    <w:name w:val="Image Caption"/>
    <w:basedOn w:val="Legenda"/>
    <w:qFormat/>
  </w:style>
  <w:style w:type="paragraph" w:customStyle="1" w:styleId="Figura">
    <w:name w:val="Figura"/>
    <w:basedOn w:val="Normalny"/>
    <w:qFormat/>
  </w:style>
  <w:style w:type="paragraph" w:customStyle="1" w:styleId="CaptionedFigure">
    <w:name w:val="Captioned Figure"/>
    <w:basedOn w:val="Figura"/>
    <w:qFormat/>
    <w:pPr>
      <w:keepNext/>
    </w:p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</w:pPr>
  </w:style>
  <w:style w:type="paragraph" w:customStyle="1" w:styleId="SourceCode">
    <w:name w:val="Source Code"/>
    <w:basedOn w:val="Normalny"/>
    <w:link w:val="VerbatimChar"/>
    <w:qFormat/>
  </w:style>
  <w:style w:type="paragraph" w:styleId="NormalnyWeb">
    <w:name w:val="Normal (Web)"/>
    <w:basedOn w:val="Normalny"/>
    <w:uiPriority w:val="99"/>
    <w:unhideWhenUsed/>
    <w:qFormat/>
    <w:rsid w:val="003B4220"/>
    <w:pPr>
      <w:spacing w:beforeAutospacing="1" w:afterAutospacing="1"/>
    </w:pPr>
    <w:rPr>
      <w:rFonts w:ascii="Times New Roman" w:eastAsia="Times New Roman" w:hAnsi="Times New Roman" w:cs="Times New Roman"/>
      <w:lang w:val="pl-PL" w:eastAsia="pl-PL"/>
    </w:rPr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0" w:space="0" w:color="auto"/>
        </w:tcBorders>
        <w:vAlign w:val="bottom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716501-071A-504F-A147-0DC2F717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641</Words>
  <Characters>4168</Characters>
  <Application>Microsoft Office Word</Application>
  <DocSecurity>0</DocSecurity>
  <Lines>67</Lines>
  <Paragraphs>16</Paragraphs>
  <ScaleCrop>false</ScaleCrop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dc:description/>
  <cp:lastModifiedBy>Anna Goławska</cp:lastModifiedBy>
  <cp:revision>10</cp:revision>
  <dcterms:created xsi:type="dcterms:W3CDTF">2026-01-27T09:05:00Z</dcterms:created>
  <dcterms:modified xsi:type="dcterms:W3CDTF">2026-01-28T07:29:00Z</dcterms:modified>
  <dc:language>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enerator">
    <vt:lpwstr>ChatGPT Deep Research</vt:lpwstr>
  </property>
</Properties>
</file>