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4A" w:rsidRDefault="0046574A" w:rsidP="00A03C06">
      <w:pPr>
        <w:pStyle w:val="Nagwek1"/>
        <w:jc w:val="both"/>
      </w:pPr>
      <w:r w:rsidRPr="0046574A">
        <w:t>Inwestycje budowlane w Polsce okiem eksperta. Jaki był 2023 rok?</w:t>
      </w:r>
    </w:p>
    <w:p w:rsidR="008078B9" w:rsidRDefault="008078B9" w:rsidP="00A03C06">
      <w:pPr>
        <w:jc w:val="both"/>
      </w:pPr>
    </w:p>
    <w:p w:rsidR="00E460B6" w:rsidRDefault="005831C2" w:rsidP="00A03C06">
      <w:pPr>
        <w:jc w:val="both"/>
      </w:pPr>
      <w:r>
        <w:t xml:space="preserve">Rok </w:t>
      </w:r>
      <w:r w:rsidR="008A241D">
        <w:t>2023 dla branży budowlanej upłynął pod znakiem w</w:t>
      </w:r>
      <w:r w:rsidR="00A51F24">
        <w:t>zrost</w:t>
      </w:r>
      <w:r w:rsidR="008A241D">
        <w:t>u</w:t>
      </w:r>
      <w:r w:rsidR="00A51F24">
        <w:t xml:space="preserve"> kosztów zatrudnienia, podwyż</w:t>
      </w:r>
      <w:r w:rsidR="008A241D">
        <w:t>ek</w:t>
      </w:r>
      <w:r w:rsidR="00A51F24">
        <w:t xml:space="preserve"> cen materiałów</w:t>
      </w:r>
      <w:r w:rsidR="00B27072">
        <w:t xml:space="preserve"> oraz</w:t>
      </w:r>
      <w:r w:rsidR="00A51F24">
        <w:t xml:space="preserve"> słabnąc</w:t>
      </w:r>
      <w:r w:rsidR="008A241D">
        <w:t>ego</w:t>
      </w:r>
      <w:r w:rsidR="00A51F24">
        <w:t xml:space="preserve"> popy</w:t>
      </w:r>
      <w:r w:rsidR="00064703">
        <w:t>t</w:t>
      </w:r>
      <w:r w:rsidR="008A241D">
        <w:t>u</w:t>
      </w:r>
      <w:r w:rsidR="00064703">
        <w:t xml:space="preserve"> przy równoczesnym</w:t>
      </w:r>
      <w:r w:rsidR="00A51F24">
        <w:t xml:space="preserve"> wzro</w:t>
      </w:r>
      <w:r w:rsidR="00064703">
        <w:t xml:space="preserve">ście </w:t>
      </w:r>
      <w:r w:rsidR="00A51F24">
        <w:t>kosztów obsługi finansowania dłużnego</w:t>
      </w:r>
      <w:r>
        <w:t xml:space="preserve">. </w:t>
      </w:r>
      <w:r w:rsidR="00B27072">
        <w:t>Jeśli dodamy do tego</w:t>
      </w:r>
      <w:r>
        <w:t xml:space="preserve"> </w:t>
      </w:r>
      <w:r w:rsidR="00A51F24">
        <w:t>niepewn</w:t>
      </w:r>
      <w:r w:rsidR="00B27072">
        <w:t>ą</w:t>
      </w:r>
      <w:r w:rsidR="00A51F24">
        <w:t xml:space="preserve"> sytuacj</w:t>
      </w:r>
      <w:r w:rsidR="00B27072">
        <w:t>ę</w:t>
      </w:r>
      <w:r w:rsidR="00A51F24">
        <w:t xml:space="preserve"> gospodarcz</w:t>
      </w:r>
      <w:r w:rsidR="00B27072">
        <w:t>ą w tle</w:t>
      </w:r>
      <w:r w:rsidR="00E460B6">
        <w:t xml:space="preserve">, obraz branży może się rysować w ciemnych barwach. Na szczęście </w:t>
      </w:r>
      <w:r w:rsidR="00081CAC">
        <w:t xml:space="preserve">ostatni kwartał </w:t>
      </w:r>
      <w:r w:rsidR="00E460B6">
        <w:t>roku przyni</w:t>
      </w:r>
      <w:r w:rsidR="00081CAC">
        <w:t>ósł</w:t>
      </w:r>
      <w:r w:rsidR="00E460B6">
        <w:t xml:space="preserve"> tak długo oczekiwany powiew optymiz</w:t>
      </w:r>
      <w:r w:rsidR="00697EF4">
        <w:t>m</w:t>
      </w:r>
      <w:r w:rsidR="00E460B6">
        <w:t>u</w:t>
      </w:r>
      <w:r w:rsidR="00994614">
        <w:t>.</w:t>
      </w:r>
      <w:r w:rsidR="00682EC9">
        <w:t xml:space="preserve"> </w:t>
      </w:r>
      <w:r w:rsidR="00994614">
        <w:t xml:space="preserve">Ożywienie widać </w:t>
      </w:r>
      <w:r w:rsidR="00682EC9">
        <w:t>zwłaszcza w budownictwie mieszkaniowym</w:t>
      </w:r>
      <w:r w:rsidR="00994614">
        <w:t>, gdzie</w:t>
      </w:r>
      <w:r w:rsidR="00682EC9">
        <w:t xml:space="preserve"> </w:t>
      </w:r>
      <w:r w:rsidR="00994614">
        <w:t>w</w:t>
      </w:r>
      <w:r w:rsidR="00682EC9">
        <w:t xml:space="preserve"> październiku </w:t>
      </w:r>
      <w:r w:rsidR="001413CF">
        <w:t>odnotowano</w:t>
      </w:r>
      <w:r w:rsidR="001413CF" w:rsidRPr="001413CF">
        <w:t xml:space="preserve"> rekordową liczbę budów </w:t>
      </w:r>
      <w:r w:rsidR="00413C50">
        <w:t xml:space="preserve">oraz pozwoleń na budowę </w:t>
      </w:r>
      <w:r w:rsidR="001413CF" w:rsidRPr="001413CF">
        <w:t>od czerwca 2022</w:t>
      </w:r>
      <w:r w:rsidR="001413CF">
        <w:t xml:space="preserve"> r. </w:t>
      </w:r>
      <w:r w:rsidR="00E843F4">
        <w:t>Z jakimi wyzwaniami mierzyła się branża w 2023 r</w:t>
      </w:r>
      <w:r w:rsidR="00DF3122">
        <w:t>.</w:t>
      </w:r>
      <w:r w:rsidR="008E0836">
        <w:t xml:space="preserve">? </w:t>
      </w:r>
      <w:r w:rsidR="009310DE">
        <w:t xml:space="preserve">Czas na podsumowanie. </w:t>
      </w:r>
    </w:p>
    <w:p w:rsidR="009F3B8C" w:rsidRDefault="009364ED" w:rsidP="00A03C06">
      <w:pPr>
        <w:pStyle w:val="Nagwek2"/>
        <w:jc w:val="both"/>
      </w:pPr>
      <w:r>
        <w:t>Rynek budowlany w kryzysie</w:t>
      </w:r>
    </w:p>
    <w:p w:rsidR="008D7BAD" w:rsidRDefault="009310DE" w:rsidP="00A03C06">
      <w:pPr>
        <w:jc w:val="both"/>
      </w:pPr>
      <w:r>
        <w:t>J</w:t>
      </w:r>
      <w:r w:rsidR="008A338C">
        <w:t>ak wynika z najnowszego raportu „Polskie spółki budowlane 2023 - najważniejsi gracze, kluczowe czynniki wzrostu i perspektywy rozwoju branży”, opracowanego prze</w:t>
      </w:r>
      <w:r w:rsidR="008A241D">
        <w:t xml:space="preserve">z </w:t>
      </w:r>
      <w:proofErr w:type="spellStart"/>
      <w:r w:rsidR="008A241D">
        <w:t>Deloitte</w:t>
      </w:r>
      <w:proofErr w:type="spellEnd"/>
      <w:r>
        <w:t xml:space="preserve">, kondycja branży </w:t>
      </w:r>
      <w:proofErr w:type="spellStart"/>
      <w:r w:rsidR="009364ED">
        <w:t>budowalnej</w:t>
      </w:r>
      <w:proofErr w:type="spellEnd"/>
      <w:r w:rsidR="009364ED">
        <w:t xml:space="preserve"> w 2023 r. uległa pogorszeniu.</w:t>
      </w:r>
      <w:r w:rsidR="0051338A">
        <w:t xml:space="preserve"> Już w </w:t>
      </w:r>
      <w:r w:rsidR="00EB0877">
        <w:t>pierwszej</w:t>
      </w:r>
      <w:r w:rsidR="006E5AAA">
        <w:t xml:space="preserve"> </w:t>
      </w:r>
      <w:r w:rsidR="00EB0877">
        <w:t>połowie roku toczyło się aż 331</w:t>
      </w:r>
      <w:r w:rsidR="006E5AAA">
        <w:t xml:space="preserve"> </w:t>
      </w:r>
      <w:proofErr w:type="spellStart"/>
      <w:r w:rsidR="00EB0877">
        <w:t>postepowań</w:t>
      </w:r>
      <w:proofErr w:type="spellEnd"/>
      <w:r w:rsidR="00EB0877">
        <w:t xml:space="preserve"> </w:t>
      </w:r>
      <w:r w:rsidR="006E5AAA">
        <w:t>upadłościowych i restrukturyzacyjnych</w:t>
      </w:r>
      <w:r w:rsidR="00EB0877">
        <w:t xml:space="preserve">, co </w:t>
      </w:r>
      <w:r w:rsidR="00A97156">
        <w:t>stanowi</w:t>
      </w:r>
      <w:r w:rsidR="00EB0877">
        <w:t xml:space="preserve"> wzrost o 159%</w:t>
      </w:r>
      <w:r w:rsidR="006E5AAA">
        <w:t xml:space="preserve"> </w:t>
      </w:r>
      <w:r w:rsidR="00EB0877">
        <w:t>względem analogicznego okresu</w:t>
      </w:r>
      <w:r w:rsidR="00A97156">
        <w:t xml:space="preserve"> w poprzednim</w:t>
      </w:r>
      <w:r w:rsidR="00EB0877">
        <w:t xml:space="preserve"> roku.</w:t>
      </w:r>
      <w:r w:rsidR="00751050" w:rsidRPr="00751050">
        <w:t xml:space="preserve"> </w:t>
      </w:r>
      <w:r w:rsidR="007D4319">
        <w:t>W najtrudniejsz</w:t>
      </w:r>
      <w:r w:rsidR="002B75C6">
        <w:t xml:space="preserve">ym położeniu </w:t>
      </w:r>
      <w:r w:rsidR="007D4319">
        <w:t xml:space="preserve">znalazły się </w:t>
      </w:r>
      <w:r w:rsidR="008A4A8E">
        <w:t xml:space="preserve">zwłaszcza </w:t>
      </w:r>
      <w:r w:rsidR="007D4319">
        <w:t>małe podmioty</w:t>
      </w:r>
      <w:r w:rsidR="006E5D81">
        <w:t>,</w:t>
      </w:r>
      <w:r w:rsidR="006E5D81" w:rsidRPr="006E5D81">
        <w:t xml:space="preserve"> szczególnie narażone na negatywne wpływy warunków rynkowych</w:t>
      </w:r>
      <w:r w:rsidR="00672A87">
        <w:t xml:space="preserve">. </w:t>
      </w:r>
      <w:r w:rsidR="00CC2BB2">
        <w:t>Sytuację na rynku kształtowało przy tym wiele różnych czynników.</w:t>
      </w:r>
    </w:p>
    <w:p w:rsidR="008D7BAD" w:rsidRDefault="00C53111" w:rsidP="00A03C06">
      <w:pPr>
        <w:pStyle w:val="Nagwek2"/>
        <w:jc w:val="both"/>
      </w:pPr>
      <w:r>
        <w:t>Brak rąk do pracy</w:t>
      </w:r>
      <w:r w:rsidR="003138A6">
        <w:t xml:space="preserve"> i wzrost kosztów zatrudnienia</w:t>
      </w:r>
    </w:p>
    <w:p w:rsidR="00070F63" w:rsidRDefault="00070F63" w:rsidP="00A03C0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Podmioty z sektora budowlanego </w:t>
      </w:r>
      <w:r w:rsidR="00A47F77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nadal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odczuwają </w:t>
      </w:r>
      <w:r w:rsidR="00C569D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brak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wykwalifikowanych pracowników budowlanych, co sprawia, że </w:t>
      </w:r>
      <w:r w:rsidR="007F550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branża jest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silnie </w:t>
      </w:r>
      <w:r w:rsidR="007F550B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uzależniona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od pracowników z zagranicy. Według danych Polskiego Związku Pracodawców Budownictwa z 2022 roku, liczba </w:t>
      </w:r>
      <w:r w:rsidR="004F1D80"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cudzoziemców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zatrudnionych na budowach spadła z 480,8 tys. w 2021 roku do 274,5 tys. w 2022 roku. Szczególnie znaczący spadek zanotowano w przypadku pracowników z Ukrainy, których liczba zmalała o 246,1 tys. do 126,9 tys. w 2022 roku </w:t>
      </w:r>
      <w:r w:rsidR="004F1D8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na skutek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trwającego </w:t>
      </w:r>
      <w:r w:rsidR="00ED3B1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w kraju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konfliktu zbrojnego. </w:t>
      </w:r>
      <w:r w:rsidR="00ED3B1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Eksperci prognozują, że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brak pracowników w sektorze budowlanym </w:t>
      </w:r>
      <w:r w:rsidR="00985EB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może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się </w:t>
      </w:r>
      <w:r w:rsidR="00D93B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stać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szczególnie dotkliwy </w:t>
      </w:r>
      <w:r w:rsidR="00985EB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 momencie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popraw</w:t>
      </w:r>
      <w:r w:rsidR="00985EB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y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koniunktury</w:t>
      </w:r>
      <w:r w:rsidR="00D93BE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na rynku inwestycji prywatnych oraz rozpoczęci</w:t>
      </w:r>
      <w:r w:rsidR="00985EBD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a</w:t>
      </w:r>
      <w:r w:rsidRPr="00070F63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dużych inwestycji infrastrukturalnych.</w:t>
      </w:r>
      <w:r w:rsidR="00692EA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Kolejną</w:t>
      </w:r>
      <w:r w:rsidR="000A672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problematyczną</w:t>
      </w:r>
      <w:r w:rsidR="00692EA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kwestią jest wzrost kosztów zatrudnienia.</w:t>
      </w:r>
    </w:p>
    <w:p w:rsidR="00AE226F" w:rsidRDefault="00AE226F" w:rsidP="00A03C0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– W obliczu </w:t>
      </w:r>
      <w:r w:rsid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braku pracowników </w:t>
      </w:r>
      <w:r w:rsidR="000A672C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i wzrostu kosztów zatrudnienia </w:t>
      </w:r>
      <w:r w:rsid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szczególnego znaczenia nabiera </w:t>
      </w:r>
      <w:r w:rsidR="00382B00" w:rsidRP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efektywne zarządzani</w:t>
      </w:r>
      <w:r w:rsid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e posiadanymi</w:t>
      </w:r>
      <w:r w:rsidR="00382B00" w:rsidRP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zasobami</w:t>
      </w:r>
      <w:r w:rsidR="00382B00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. – zauważa Andrzej Przesmycki, </w:t>
      </w:r>
      <w:r w:rsidR="002A44C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CEO firmy PM,</w:t>
      </w:r>
      <w:r w:rsidR="002A44C2" w:rsidRPr="002A44C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zajmującej się wspieraniem inwestorów na każdym etapie procesu inwestycyjnego: od wstępnych analiz, przez projektowanie, po nadzór </w:t>
      </w:r>
      <w:r w:rsidR="0038436A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inwestorski</w:t>
      </w:r>
      <w:r w:rsidR="002A44C2" w:rsidRPr="002A44C2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.</w:t>
      </w:r>
      <w:r w:rsidR="00B91A3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– </w:t>
      </w:r>
      <w:r w:rsidR="00B91A39" w:rsidRPr="00B91A39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Firmy muszą być gotowe na dynamiczne dostosowywanie się do zmieniających się warunków rynkowych, a jednocześnie utrzymywanie wysokiej jakości wykonywanych prac.</w:t>
      </w:r>
      <w:r w:rsidR="00D51821" w:rsidRPr="00D51821">
        <w:t xml:space="preserve"> </w:t>
      </w:r>
      <w:r w:rsidR="007405C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</w:t>
      </w:r>
      <w:r w:rsidR="007405CE" w:rsidRPr="007405CE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yzwaniem jest odpowiednie planowanie i alokacja zasobów ludzkich. Brak wykwalifikowanych pracowników może skutkować opóźnieniami w realizacji projektów. Dlatego konieczne jest staranne określenie potrzeb kadrowych na każdym etapie inwestycji</w:t>
      </w:r>
      <w:r w:rsidR="0015170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. – </w:t>
      </w:r>
      <w:r w:rsidR="00AC654A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tłumaczy.</w:t>
      </w:r>
    </w:p>
    <w:p w:rsidR="008D7BAD" w:rsidRDefault="004409FD" w:rsidP="00A03C06">
      <w:pPr>
        <w:pStyle w:val="Nagwek2"/>
        <w:jc w:val="both"/>
      </w:pPr>
      <w:r>
        <w:t xml:space="preserve">Wysokie koszty finansowania inwestycji </w:t>
      </w:r>
      <w:r w:rsidR="00503F8C">
        <w:t xml:space="preserve">barierą </w:t>
      </w:r>
      <w:r w:rsidR="00357E7F">
        <w:t xml:space="preserve">w mieszkaniówce </w:t>
      </w:r>
    </w:p>
    <w:p w:rsidR="009E1CFE" w:rsidRDefault="009E1CFE" w:rsidP="00A03C06">
      <w:pPr>
        <w:jc w:val="both"/>
      </w:pPr>
      <w:r>
        <w:t>Wysoki</w:t>
      </w:r>
      <w:r w:rsidR="00CE71CC">
        <w:t xml:space="preserve"> poziom </w:t>
      </w:r>
      <w:r>
        <w:t>st</w:t>
      </w:r>
      <w:r w:rsidR="00CE71CC">
        <w:t>óp</w:t>
      </w:r>
      <w:r>
        <w:t xml:space="preserve"> procentow</w:t>
      </w:r>
      <w:r w:rsidR="00CE71CC">
        <w:t>ych</w:t>
      </w:r>
      <w:r>
        <w:t xml:space="preserve"> skutkował wyższymi ratami kredytów hipotecznych</w:t>
      </w:r>
      <w:r w:rsidR="007C249A">
        <w:t xml:space="preserve"> i</w:t>
      </w:r>
      <w:r>
        <w:t xml:space="preserve"> ograniczał zdolność kredytobiorców do obsługi swoich zobowiązań</w:t>
      </w:r>
      <w:r w:rsidR="00CE71CC">
        <w:t xml:space="preserve"> finansowych</w:t>
      </w:r>
      <w:r>
        <w:t xml:space="preserve">. </w:t>
      </w:r>
      <w:r w:rsidR="00881861">
        <w:t>Od</w:t>
      </w:r>
      <w:r w:rsidR="006C7391">
        <w:t>biło się to zwłaszcza na</w:t>
      </w:r>
      <w:r>
        <w:t xml:space="preserve"> kondycji branży budownictwa mieszkaniowego, gdzie popyt </w:t>
      </w:r>
      <w:r w:rsidR="006C7391">
        <w:t>został widocznie</w:t>
      </w:r>
      <w:r>
        <w:t xml:space="preserve"> ograniczony z powodu trudności finansowych potencjalnych nabywców.</w:t>
      </w:r>
    </w:p>
    <w:p w:rsidR="009E1CFE" w:rsidRDefault="009E1CFE" w:rsidP="00A03C06">
      <w:pPr>
        <w:jc w:val="both"/>
      </w:pPr>
    </w:p>
    <w:p w:rsidR="009E1CFE" w:rsidRDefault="009E1CFE" w:rsidP="00A03C06">
      <w:pPr>
        <w:jc w:val="both"/>
      </w:pPr>
      <w:r>
        <w:t xml:space="preserve">Dodatkowo, utrzymujące się na wysokim poziomie stopy procentowe zniechęcały inwestorów do zwiększania zaangażowania kapitałowego w nieruchomości komercyjne, ponieważ alternatywne inwestycje oferowały konkurencyjne stopy zwrotu. </w:t>
      </w:r>
    </w:p>
    <w:p w:rsidR="008D7BAD" w:rsidRDefault="002400A8" w:rsidP="00A03C06">
      <w:pPr>
        <w:jc w:val="both"/>
      </w:pPr>
      <w:r>
        <w:t>Niemniej</w:t>
      </w:r>
      <w:r w:rsidR="009E1CFE">
        <w:t xml:space="preserve"> ostatnia zmiana polityki stóp procentowych przez Radę Polityki Pieniężnej NBP</w:t>
      </w:r>
      <w:r w:rsidR="000D1872">
        <w:t xml:space="preserve"> i</w:t>
      </w:r>
      <w:r w:rsidR="009E1CFE">
        <w:t xml:space="preserve"> redukcja głównej stopy referencyjnej do poziomu 5,75% w październiku 2023 roku, otwiera</w:t>
      </w:r>
      <w:r w:rsidR="00622196">
        <w:t>ją</w:t>
      </w:r>
      <w:r w:rsidR="009E1CFE">
        <w:t xml:space="preserve"> nowe perspektywy. Możliwe ożywienie popytu na kredyty hipoteczne może wpłynąć na wzrost zainteresowania zakupem mieszkań. Zdaniem uczestników rynku budownictwa mieszkaniowego, dalsze trendy na rynku nieruchomości będą </w:t>
      </w:r>
      <w:r w:rsidR="001705EB">
        <w:t>w dużej mierze u</w:t>
      </w:r>
      <w:r w:rsidR="009E1CFE">
        <w:t>zależn</w:t>
      </w:r>
      <w:r w:rsidR="001705EB">
        <w:t>ione</w:t>
      </w:r>
      <w:r w:rsidR="009E1CFE">
        <w:t xml:space="preserve"> od długoterminowego charakteru decyzji RPP dotyczących stóp procentowych. Obecn</w:t>
      </w:r>
      <w:r w:rsidR="001705EB">
        <w:t>e</w:t>
      </w:r>
      <w:r w:rsidR="009E1CFE">
        <w:t xml:space="preserve"> doniesienia wskazują, że kolejn</w:t>
      </w:r>
      <w:r w:rsidR="001705EB">
        <w:t>ych zmian</w:t>
      </w:r>
      <w:r w:rsidR="009E1CFE">
        <w:t xml:space="preserve"> </w:t>
      </w:r>
      <w:r w:rsidR="001705EB">
        <w:t xml:space="preserve">nie należy się spodziewać wcześniej niż </w:t>
      </w:r>
      <w:r w:rsidR="009E1CFE">
        <w:t>wiosn</w:t>
      </w:r>
      <w:r w:rsidR="001705EB">
        <w:t>ą</w:t>
      </w:r>
      <w:r w:rsidR="009E1CFE">
        <w:t>.</w:t>
      </w:r>
    </w:p>
    <w:p w:rsidR="008D7BAD" w:rsidRDefault="008D7BAD" w:rsidP="00A03C06">
      <w:pPr>
        <w:pStyle w:val="Nagwek2"/>
        <w:jc w:val="both"/>
      </w:pPr>
      <w:r>
        <w:t>Co z cenami materiałów budowlanych?</w:t>
      </w:r>
    </w:p>
    <w:p w:rsidR="00EF02F4" w:rsidRDefault="00EF02F4" w:rsidP="00A03C06">
      <w:pPr>
        <w:jc w:val="both"/>
      </w:pPr>
      <w:r>
        <w:t>Kończący się rok</w:t>
      </w:r>
      <w:r w:rsidR="00E662FC">
        <w:t xml:space="preserve"> to był czasem</w:t>
      </w:r>
      <w:r>
        <w:t xml:space="preserve"> relatywnie wysoki</w:t>
      </w:r>
      <w:r w:rsidR="00E662FC">
        <w:t>ch</w:t>
      </w:r>
      <w:r>
        <w:t xml:space="preserve"> cen</w:t>
      </w:r>
      <w:r w:rsidR="00E662FC">
        <w:t xml:space="preserve"> </w:t>
      </w:r>
      <w:r>
        <w:t xml:space="preserve">materiałów budowlanych, </w:t>
      </w:r>
      <w:r w:rsidR="00F34021">
        <w:t>przy czym</w:t>
      </w:r>
      <w:r>
        <w:t xml:space="preserve"> dynamika wzrostu cen uległa zmniejszeniu w porównaniu do </w:t>
      </w:r>
      <w:r w:rsidR="00E662FC">
        <w:t>2022</w:t>
      </w:r>
      <w:r>
        <w:t xml:space="preserve"> roku. Według danych Grupy PSB, w ciągu pierwszych ośmiu miesięcy 2023 roku ceny wzrosły </w:t>
      </w:r>
      <w:r w:rsidR="00964E04">
        <w:t xml:space="preserve">średnio </w:t>
      </w:r>
      <w:r>
        <w:t xml:space="preserve">o 7% w porównaniu z analogicznym okresem w 2022 roku. Jednym z czynników przyczyniających się do spowolnienia tempa wzrostu cen materiałów </w:t>
      </w:r>
      <w:r w:rsidR="00964E04">
        <w:t xml:space="preserve">była </w:t>
      </w:r>
      <w:r>
        <w:t>stagnacja w segmencie nieruchomości mieszkaniowych, który generuje około jednej trzeciej popytu na materiały budowlane w Polsce.</w:t>
      </w:r>
    </w:p>
    <w:p w:rsidR="00723BD0" w:rsidRDefault="00EF02F4" w:rsidP="00A03C06">
      <w:pPr>
        <w:jc w:val="both"/>
      </w:pPr>
      <w:r>
        <w:t xml:space="preserve">Potencjalne ożywienie na rynku budownictwa mieszkaniowego, wynikające z wprowadzenia programu "Bezpieczny kredyt 2%" oraz odblokowania środków z Krajowego Planu Odbudowy, może jednak wpłynąć na wzrost cen materiałów z </w:t>
      </w:r>
      <w:r w:rsidR="00501BCF">
        <w:t>uwagi na</w:t>
      </w:r>
      <w:r>
        <w:t xml:space="preserve"> zwiększon</w:t>
      </w:r>
      <w:r w:rsidR="00501BCF">
        <w:t>y</w:t>
      </w:r>
      <w:r>
        <w:t xml:space="preserve"> popyt. </w:t>
      </w:r>
    </w:p>
    <w:p w:rsidR="00A67D2D" w:rsidRPr="00A03C06" w:rsidRDefault="00A03C06" w:rsidP="00A03C06">
      <w:pPr>
        <w:pStyle w:val="Nagwek2"/>
        <w:jc w:val="both"/>
      </w:pPr>
      <w:r>
        <w:t>Kto</w:t>
      </w:r>
      <w:r w:rsidRPr="00A03C06">
        <w:t xml:space="preserve"> przetrwa na trudnym rynku?</w:t>
      </w:r>
    </w:p>
    <w:p w:rsidR="00A03C06" w:rsidRPr="00CC4A9F" w:rsidRDefault="00CC4A9F" w:rsidP="00A03C06">
      <w:pPr>
        <w:autoSpaceDE w:val="0"/>
        <w:autoSpaceDN w:val="0"/>
        <w:adjustRightInd w:val="0"/>
        <w:spacing w:after="0" w:line="240" w:lineRule="auto"/>
        <w:jc w:val="both"/>
      </w:pPr>
      <w:r w:rsidRPr="00CC4A9F">
        <w:t xml:space="preserve">Jak podkreślają eksperci z </w:t>
      </w:r>
      <w:proofErr w:type="spellStart"/>
      <w:r w:rsidRPr="00CC4A9F">
        <w:t>Deloitte</w:t>
      </w:r>
      <w:proofErr w:type="spellEnd"/>
      <w:r w:rsidRPr="00CC4A9F">
        <w:t>,</w:t>
      </w:r>
      <w:r>
        <w:t xml:space="preserve"> r</w:t>
      </w:r>
      <w:r w:rsidRPr="00CC4A9F">
        <w:t>osnące znaczenie budownictwa zorientowanego na ochronę środowiska naturalnego i zdrowie człowieka, wraz z wprowadzanymi nowymi regulacjami i inicjatywami europejskimi, skłania sektor budowlany do wdrażania nowych, często kosztownych rozwiązań w ramach zawieranych kontraktów.</w:t>
      </w:r>
      <w:r w:rsidR="00666562">
        <w:t xml:space="preserve"> Jak więc optymalizować działania</w:t>
      </w:r>
      <w:r w:rsidR="0024202B">
        <w:t xml:space="preserve"> związane z inwestycjami budowlanymi</w:t>
      </w:r>
      <w:r w:rsidR="00387E0D">
        <w:t xml:space="preserve"> bez uszczerbku na</w:t>
      </w:r>
      <w:r w:rsidR="00666562">
        <w:t xml:space="preserve"> jakoś</w:t>
      </w:r>
      <w:r w:rsidR="00387E0D">
        <w:t>ci i</w:t>
      </w:r>
      <w:r w:rsidR="002C4E3A">
        <w:t xml:space="preserve"> w </w:t>
      </w:r>
      <w:r w:rsidR="00387E0D">
        <w:t>budżecie</w:t>
      </w:r>
      <w:r w:rsidR="002C4E3A">
        <w:t xml:space="preserve"> akceptowaln</w:t>
      </w:r>
      <w:r w:rsidR="00387E0D">
        <w:t>ym</w:t>
      </w:r>
      <w:r w:rsidR="002C4E3A">
        <w:t xml:space="preserve"> przez inwestora? </w:t>
      </w:r>
      <w:r w:rsidR="0024202B">
        <w:t xml:space="preserve">Rozwiązaniem może się okazać współpraca z inwestorem zastępczym. </w:t>
      </w:r>
      <w:r w:rsidR="00647EE5">
        <w:t>Dlaczego?</w:t>
      </w:r>
    </w:p>
    <w:p w:rsidR="001E42D4" w:rsidRDefault="001E42D4" w:rsidP="00A03C06">
      <w:pPr>
        <w:jc w:val="both"/>
        <w:rPr>
          <w:rFonts w:ascii="OpenSans-Light" w:hAnsi="OpenSans-Light" w:cs="OpenSans-Light"/>
          <w:sz w:val="17"/>
          <w:szCs w:val="17"/>
        </w:rPr>
      </w:pPr>
    </w:p>
    <w:p w:rsidR="0002318D" w:rsidRDefault="00647EE5" w:rsidP="00A03C06">
      <w:pPr>
        <w:jc w:val="both"/>
      </w:pPr>
      <w:r>
        <w:rPr>
          <w:rFonts w:ascii="OpenSans-Light" w:hAnsi="OpenSans-Light" w:cs="OpenSans-Light"/>
          <w:sz w:val="17"/>
          <w:szCs w:val="17"/>
        </w:rPr>
        <w:t xml:space="preserve">– </w:t>
      </w:r>
      <w:r w:rsidR="004D7945">
        <w:t xml:space="preserve">Po pierwsze, wybór doświadczonego i solidnego </w:t>
      </w:r>
      <w:r>
        <w:t>partnera</w:t>
      </w:r>
      <w:r w:rsidR="004D7945">
        <w:t xml:space="preserve"> </w:t>
      </w:r>
      <w:r w:rsidR="00217F8E">
        <w:t>pozwoli na</w:t>
      </w:r>
      <w:r w:rsidR="004D7945">
        <w:t xml:space="preserve"> terminowe i efektywne zrealizowanie projektu, co jest kluczowe zwłaszcza w trudnych warunkach rynkowych. Po drugie, </w:t>
      </w:r>
      <w:r w:rsidR="00217F8E">
        <w:t>inwestor zastępczy</w:t>
      </w:r>
      <w:r w:rsidR="004D7945">
        <w:t xml:space="preserve"> </w:t>
      </w:r>
      <w:r w:rsidR="00217F8E">
        <w:t>wie, jak sobie</w:t>
      </w:r>
      <w:r w:rsidR="004D7945">
        <w:t xml:space="preserve"> radzić </w:t>
      </w:r>
      <w:r w:rsidR="00217F8E">
        <w:t>w ewentualnych</w:t>
      </w:r>
      <w:r w:rsidR="004D7945">
        <w:t xml:space="preserve"> sytuacjach kryzysowych, dostosowując się do zmieniających się warunków i minimalizując ryzyko opóźnień czy problemów technicznych. </w:t>
      </w:r>
      <w:r w:rsidR="0099667B">
        <w:t xml:space="preserve">– wylicza Andrzej Przesmycki z PM. – </w:t>
      </w:r>
      <w:r w:rsidR="004A7A6D">
        <w:t>Co szczególnie istotne, inwesto</w:t>
      </w:r>
      <w:r w:rsidR="0038436A">
        <w:t>r zastępczy bierze na siebie duż</w:t>
      </w:r>
      <w:r w:rsidR="004A7A6D">
        <w:t xml:space="preserve">ą odpowiedzialność </w:t>
      </w:r>
      <w:r w:rsidR="00460B0E">
        <w:t xml:space="preserve">za powodzenie przedsięwzięcia, </w:t>
      </w:r>
      <w:r w:rsidR="001F0988" w:rsidRPr="001F0988">
        <w:t>koordynując i integrując wszystkie działania – od momentu podjęcia decyzji o inwestycji aż do oddania jej do użytkowania.</w:t>
      </w:r>
      <w:r w:rsidR="001E42D4">
        <w:t xml:space="preserve"> – podkreśla. </w:t>
      </w:r>
    </w:p>
    <w:p w:rsidR="004D7945" w:rsidRDefault="00F924EA" w:rsidP="00A03C06">
      <w:pPr>
        <w:jc w:val="both"/>
      </w:pPr>
      <w:r>
        <w:t xml:space="preserve">Inwestor zastępczy </w:t>
      </w:r>
      <w:r w:rsidR="001E0978">
        <w:t>powinien</w:t>
      </w:r>
      <w:r>
        <w:t xml:space="preserve"> także </w:t>
      </w:r>
      <w:r w:rsidR="001E0978">
        <w:t xml:space="preserve">posiadać </w:t>
      </w:r>
      <w:r>
        <w:t>aktualną wiedzę na temat wymagań</w:t>
      </w:r>
      <w:r w:rsidRPr="00F924EA">
        <w:t xml:space="preserve"> budownictwa zrównoważonego</w:t>
      </w:r>
      <w:r w:rsidR="00DE5E28">
        <w:t xml:space="preserve">, którego znaczenie stale rośnie. </w:t>
      </w:r>
      <w:r w:rsidRPr="00F924EA">
        <w:t>Firmy, które nie dostosują się do obowiązujących trendów i norm, mogą zostać wyeliminowane z rynku. W związku z tym, dostosowanie się do wymagań zrównoważonego budownictwa staje się nie tylko kwestią etyczną, ale także strategią przetrwania i konkurencyjności dla przedsiębiorstw działających w branży.</w:t>
      </w:r>
    </w:p>
    <w:sectPr w:rsidR="004D7945" w:rsidSect="00B54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ans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compat/>
  <w:rsids>
    <w:rsidRoot w:val="0046574A"/>
    <w:rsid w:val="0002318D"/>
    <w:rsid w:val="00024D31"/>
    <w:rsid w:val="00064703"/>
    <w:rsid w:val="00070F63"/>
    <w:rsid w:val="00081CAC"/>
    <w:rsid w:val="000A672C"/>
    <w:rsid w:val="000D1872"/>
    <w:rsid w:val="001413CF"/>
    <w:rsid w:val="00151708"/>
    <w:rsid w:val="001705EB"/>
    <w:rsid w:val="001E0978"/>
    <w:rsid w:val="001E42D4"/>
    <w:rsid w:val="001F0988"/>
    <w:rsid w:val="00217F8E"/>
    <w:rsid w:val="00226B88"/>
    <w:rsid w:val="002400A8"/>
    <w:rsid w:val="0024202B"/>
    <w:rsid w:val="00243B46"/>
    <w:rsid w:val="002450F6"/>
    <w:rsid w:val="00281B4D"/>
    <w:rsid w:val="002A44C2"/>
    <w:rsid w:val="002B75C6"/>
    <w:rsid w:val="002C4E3A"/>
    <w:rsid w:val="002D36FA"/>
    <w:rsid w:val="003138A6"/>
    <w:rsid w:val="00324E7E"/>
    <w:rsid w:val="00327D8A"/>
    <w:rsid w:val="003576EE"/>
    <w:rsid w:val="00357E7F"/>
    <w:rsid w:val="00382B00"/>
    <w:rsid w:val="0038436A"/>
    <w:rsid w:val="00387E0D"/>
    <w:rsid w:val="003C2965"/>
    <w:rsid w:val="00413C50"/>
    <w:rsid w:val="00420262"/>
    <w:rsid w:val="004205BE"/>
    <w:rsid w:val="00421523"/>
    <w:rsid w:val="004409FD"/>
    <w:rsid w:val="00460B0E"/>
    <w:rsid w:val="0046574A"/>
    <w:rsid w:val="004A7A6D"/>
    <w:rsid w:val="004B3E90"/>
    <w:rsid w:val="004C4B67"/>
    <w:rsid w:val="004D1F58"/>
    <w:rsid w:val="004D7945"/>
    <w:rsid w:val="004F1D80"/>
    <w:rsid w:val="00501BCF"/>
    <w:rsid w:val="00503F8C"/>
    <w:rsid w:val="0051338A"/>
    <w:rsid w:val="005831C2"/>
    <w:rsid w:val="005A11EE"/>
    <w:rsid w:val="00622196"/>
    <w:rsid w:val="00647EE5"/>
    <w:rsid w:val="00666562"/>
    <w:rsid w:val="00672A87"/>
    <w:rsid w:val="00682EC9"/>
    <w:rsid w:val="00692EA8"/>
    <w:rsid w:val="00697EF4"/>
    <w:rsid w:val="006A7833"/>
    <w:rsid w:val="006C7391"/>
    <w:rsid w:val="006D7533"/>
    <w:rsid w:val="006E5AAA"/>
    <w:rsid w:val="006E5D81"/>
    <w:rsid w:val="00704C51"/>
    <w:rsid w:val="00723BD0"/>
    <w:rsid w:val="0073136C"/>
    <w:rsid w:val="007405CE"/>
    <w:rsid w:val="00751050"/>
    <w:rsid w:val="007C249A"/>
    <w:rsid w:val="007D4319"/>
    <w:rsid w:val="007F550B"/>
    <w:rsid w:val="008078B9"/>
    <w:rsid w:val="00881861"/>
    <w:rsid w:val="008A241D"/>
    <w:rsid w:val="008A338C"/>
    <w:rsid w:val="008A4A8E"/>
    <w:rsid w:val="008D7BAD"/>
    <w:rsid w:val="008E0836"/>
    <w:rsid w:val="009310DE"/>
    <w:rsid w:val="009364ED"/>
    <w:rsid w:val="00964E04"/>
    <w:rsid w:val="00985EBD"/>
    <w:rsid w:val="00994614"/>
    <w:rsid w:val="0099667B"/>
    <w:rsid w:val="009E1CFE"/>
    <w:rsid w:val="009F3B8C"/>
    <w:rsid w:val="00A03C06"/>
    <w:rsid w:val="00A47F77"/>
    <w:rsid w:val="00A51F24"/>
    <w:rsid w:val="00A574AC"/>
    <w:rsid w:val="00A6479E"/>
    <w:rsid w:val="00A67D2D"/>
    <w:rsid w:val="00A97156"/>
    <w:rsid w:val="00AC654A"/>
    <w:rsid w:val="00AE226F"/>
    <w:rsid w:val="00B27072"/>
    <w:rsid w:val="00B54E4C"/>
    <w:rsid w:val="00B833C2"/>
    <w:rsid w:val="00B91A39"/>
    <w:rsid w:val="00B937BA"/>
    <w:rsid w:val="00BC0387"/>
    <w:rsid w:val="00BE2AAD"/>
    <w:rsid w:val="00C53111"/>
    <w:rsid w:val="00C569DE"/>
    <w:rsid w:val="00CB6A80"/>
    <w:rsid w:val="00CC2BB2"/>
    <w:rsid w:val="00CC4A9F"/>
    <w:rsid w:val="00CE71CC"/>
    <w:rsid w:val="00D3701B"/>
    <w:rsid w:val="00D40C24"/>
    <w:rsid w:val="00D51821"/>
    <w:rsid w:val="00D93BED"/>
    <w:rsid w:val="00DE5E28"/>
    <w:rsid w:val="00DF3122"/>
    <w:rsid w:val="00E460B6"/>
    <w:rsid w:val="00E61B00"/>
    <w:rsid w:val="00E662FC"/>
    <w:rsid w:val="00E843F4"/>
    <w:rsid w:val="00EB0877"/>
    <w:rsid w:val="00ED3B1C"/>
    <w:rsid w:val="00EF02F4"/>
    <w:rsid w:val="00F34021"/>
    <w:rsid w:val="00F50CAB"/>
    <w:rsid w:val="00F86A35"/>
    <w:rsid w:val="00F924EA"/>
    <w:rsid w:val="00FD1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E4C"/>
  </w:style>
  <w:style w:type="paragraph" w:styleId="Nagwek1">
    <w:name w:val="heading 1"/>
    <w:basedOn w:val="Normalny"/>
    <w:next w:val="Normalny"/>
    <w:link w:val="Nagwek1Znak"/>
    <w:uiPriority w:val="9"/>
    <w:qFormat/>
    <w:rsid w:val="004657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657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2</Pages>
  <Words>939</Words>
  <Characters>5634</Characters>
  <Application>Microsoft Office Word</Application>
  <DocSecurity>0</DocSecurity>
  <Lines>46</Lines>
  <Paragraphs>13</Paragraphs>
  <ScaleCrop>false</ScaleCrop>
  <Company>MSI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1</cp:revision>
  <dcterms:created xsi:type="dcterms:W3CDTF">2023-12-05T09:19:00Z</dcterms:created>
  <dcterms:modified xsi:type="dcterms:W3CDTF">2023-12-07T08:58:00Z</dcterms:modified>
</cp:coreProperties>
</file>