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51CAB" w14:textId="77777777" w:rsidR="007F7D03" w:rsidRPr="002B0330" w:rsidRDefault="00C33850">
      <w:pPr>
        <w:pStyle w:val="Nagwek1"/>
        <w:rPr>
          <w:rFonts w:ascii="Calibri" w:hAnsi="Calibri" w:cs="Calibri"/>
          <w:sz w:val="28"/>
          <w:szCs w:val="28"/>
        </w:rPr>
      </w:pPr>
      <w:bookmarkStart w:id="0" w:name="header"/>
      <w:bookmarkStart w:id="1" w:name="X5965db66eafb0c7577d9c8441480cd7d0775404"/>
      <w:bookmarkStart w:id="2" w:name="content"/>
      <w:bookmarkEnd w:id="0"/>
      <w:r w:rsidRPr="002B0330">
        <w:rPr>
          <w:rFonts w:ascii="Calibri" w:hAnsi="Calibri" w:cs="Calibri"/>
          <w:sz w:val="28"/>
          <w:szCs w:val="28"/>
        </w:rPr>
        <w:t>Jak</w:t>
      </w:r>
      <w:r w:rsidR="00D97640" w:rsidRPr="002B0330">
        <w:rPr>
          <w:rFonts w:ascii="Calibri" w:hAnsi="Calibri" w:cs="Calibri"/>
          <w:sz w:val="28"/>
          <w:szCs w:val="28"/>
        </w:rPr>
        <w:t xml:space="preserve"> efektywnie</w:t>
      </w:r>
      <w:r w:rsidRPr="002B0330">
        <w:rPr>
          <w:rFonts w:ascii="Calibri" w:hAnsi="Calibri" w:cs="Calibri"/>
          <w:sz w:val="28"/>
          <w:szCs w:val="28"/>
        </w:rPr>
        <w:t xml:space="preserve"> łączyć światło dzienne i LED w infrastrukturze miejskiej</w:t>
      </w:r>
      <w:r w:rsidR="00D97640" w:rsidRPr="002B0330">
        <w:rPr>
          <w:rFonts w:ascii="Calibri" w:hAnsi="Calibri" w:cs="Calibri"/>
          <w:sz w:val="28"/>
          <w:szCs w:val="28"/>
        </w:rPr>
        <w:t>?</w:t>
      </w:r>
    </w:p>
    <w:p w14:paraId="3DF9A044" w14:textId="77777777" w:rsidR="00D97640" w:rsidRPr="002B0330" w:rsidRDefault="00D97640" w:rsidP="00D97640">
      <w:pPr>
        <w:pStyle w:val="NormalnyWeb"/>
        <w:rPr>
          <w:rFonts w:ascii="Calibri" w:hAnsi="Calibri" w:cs="Calibri"/>
        </w:rPr>
      </w:pPr>
      <w:bookmarkStart w:id="3" w:name="citations"/>
      <w:bookmarkEnd w:id="1"/>
      <w:bookmarkEnd w:id="2"/>
      <w:bookmarkEnd w:id="3"/>
      <w:r w:rsidRPr="002B0330">
        <w:rPr>
          <w:rFonts w:ascii="Calibri" w:hAnsi="Calibri" w:cs="Calibri"/>
        </w:rPr>
        <w:t>Współczesne oświetlenie uliczne przestało pełnić funkcję wyłącznie statycznego źródła jasności po zmroku. Dziś jest to dynamiczny element tkanki miejskiej, który coraz skuteczniej łączy zalety naturalnego światła słonecznego z precyzją energooszczędnych opraw LED. Miasta planujące modernizację lub rozbudowę infrastruktury stają przed wyzwaniem nie tylko wymiany sodówek na LED-y, ale przede wszystkim zaprojektowania inteligentnego ekosystemu. Wymaga to określenia rygorystycznych standardów technicznych (m.in. temperatury barwowej, krzywej rozsyłu światła, wskaźnika olśnienia), opracowania adaptacyjnych harmonogramów pracy oraz zabezpieczenia budżetu na technologie Smart City.</w:t>
      </w:r>
    </w:p>
    <w:p w14:paraId="2C8629DF" w14:textId="77777777" w:rsidR="00D97640" w:rsidRPr="002B0330" w:rsidRDefault="00D97640" w:rsidP="00D97640">
      <w:pPr>
        <w:pStyle w:val="NormalnyWeb"/>
        <w:rPr>
          <w:rFonts w:ascii="Calibri" w:hAnsi="Calibri" w:cs="Calibri"/>
        </w:rPr>
      </w:pPr>
      <w:r w:rsidRPr="002B0330">
        <w:rPr>
          <w:rFonts w:ascii="Calibri" w:hAnsi="Calibri" w:cs="Calibri"/>
        </w:rPr>
        <w:t>Za koordynację tych złożonych procesów odpowiadają zazwyczaj miejskie wydziały infrastruktury lub Zarządy Dróg Miejskich, współpracując ściśle z wyspecjalizowanymi wykonawcami. Cel jest jasny: zaprojektować miejskie oświetlenie tak, aby maksymalnie wykorzystać dostępność światła dziennego i uruchamiać sztuczne źródła tylko w takim stopniu, w jakim jest to niezbędne dla bezpieczeństwa.</w:t>
      </w:r>
    </w:p>
    <w:p w14:paraId="32010955" w14:textId="77777777" w:rsidR="00D97640" w:rsidRPr="002B0330" w:rsidRDefault="00D97640" w:rsidP="00D97640">
      <w:pPr>
        <w:pStyle w:val="Nagwek2"/>
        <w:rPr>
          <w:rFonts w:ascii="Calibri" w:hAnsi="Calibri" w:cs="Calibri"/>
          <w:sz w:val="24"/>
          <w:szCs w:val="24"/>
        </w:rPr>
      </w:pPr>
      <w:r w:rsidRPr="002B0330">
        <w:rPr>
          <w:rFonts w:ascii="Calibri" w:hAnsi="Calibri" w:cs="Calibri"/>
          <w:sz w:val="24"/>
          <w:szCs w:val="24"/>
        </w:rPr>
        <w:t>Inteligentne sterowanie – mózg systemu oświetleniowego</w:t>
      </w:r>
    </w:p>
    <w:p w14:paraId="6CCFD9FE" w14:textId="77777777" w:rsidR="00D97640" w:rsidRPr="002B0330" w:rsidRDefault="00D97640" w:rsidP="00D97640">
      <w:pPr>
        <w:pStyle w:val="NormalnyWeb"/>
        <w:rPr>
          <w:rFonts w:ascii="Calibri" w:hAnsi="Calibri" w:cs="Calibri"/>
        </w:rPr>
      </w:pPr>
      <w:r w:rsidRPr="002B0330">
        <w:rPr>
          <w:rFonts w:ascii="Calibri" w:hAnsi="Calibri" w:cs="Calibri"/>
        </w:rPr>
        <w:t xml:space="preserve">Aby realnie oszczędzać energię i </w:t>
      </w:r>
      <w:r w:rsidR="002B0330">
        <w:rPr>
          <w:rFonts w:ascii="Calibri" w:hAnsi="Calibri" w:cs="Calibri"/>
        </w:rPr>
        <w:t>zapewniać komfortowe oświetlenie użytkownikom infrastruktury miejskiej</w:t>
      </w:r>
      <w:r w:rsidRPr="002B0330">
        <w:rPr>
          <w:rFonts w:ascii="Calibri" w:hAnsi="Calibri" w:cs="Calibri"/>
        </w:rPr>
        <w:t>, niezbędne jest wdrożenie zaawansowanych systemów sterowania. To one decydują o tym, kiedy i z jaką mocą pracują oprawy. Do najskuteczniejszych rozwiązań należą:</w:t>
      </w:r>
    </w:p>
    <w:p w14:paraId="7CEAD67D" w14:textId="77777777" w:rsidR="00D97640" w:rsidRPr="002B0330" w:rsidRDefault="00D97640" w:rsidP="00D97640">
      <w:pPr>
        <w:pStyle w:val="NormalnyWeb"/>
        <w:numPr>
          <w:ilvl w:val="0"/>
          <w:numId w:val="3"/>
        </w:numPr>
        <w:rPr>
          <w:rFonts w:ascii="Calibri" w:hAnsi="Calibri" w:cs="Calibri"/>
        </w:rPr>
      </w:pPr>
      <w:r w:rsidRPr="002B0330">
        <w:rPr>
          <w:rFonts w:ascii="Calibri" w:hAnsi="Calibri" w:cs="Calibri"/>
          <w:b/>
          <w:bCs/>
        </w:rPr>
        <w:t>Czujniki zmierzchu i zegary astronomiczne:</w:t>
      </w:r>
      <w:r w:rsidRPr="002B0330">
        <w:rPr>
          <w:rFonts w:ascii="Calibri" w:hAnsi="Calibri" w:cs="Calibri"/>
        </w:rPr>
        <w:t xml:space="preserve"> To pierwsza linia obrony przed marnotrawstwem energii. Lampy wyposażone w precyzyjne czujniki lub sterowniki z mapą nieba („astronomiczny </w:t>
      </w:r>
      <w:proofErr w:type="spellStart"/>
      <w:r w:rsidRPr="002B0330">
        <w:rPr>
          <w:rFonts w:ascii="Calibri" w:hAnsi="Calibri" w:cs="Calibri"/>
        </w:rPr>
        <w:t>timer</w:t>
      </w:r>
      <w:proofErr w:type="spellEnd"/>
      <w:r w:rsidRPr="002B0330">
        <w:rPr>
          <w:rFonts w:ascii="Calibri" w:hAnsi="Calibri" w:cs="Calibri"/>
        </w:rPr>
        <w:t>”) automatycznie reagują na wschody i zachody słońca. System typu „DUSK TO DAWN” eliminuje sytuacje, w których latarnie świecą w pełnym słońcu z powodu błędu ludzkiego czy awarii starego zegara.</w:t>
      </w:r>
    </w:p>
    <w:p w14:paraId="583364EE" w14:textId="63F85E77" w:rsidR="00D97640" w:rsidRPr="002B0330" w:rsidRDefault="00D97640" w:rsidP="00D97640">
      <w:pPr>
        <w:pStyle w:val="NormalnyWeb"/>
        <w:numPr>
          <w:ilvl w:val="0"/>
          <w:numId w:val="3"/>
        </w:numPr>
        <w:rPr>
          <w:rFonts w:ascii="Calibri" w:hAnsi="Calibri" w:cs="Calibri"/>
        </w:rPr>
      </w:pPr>
      <w:proofErr w:type="spellStart"/>
      <w:r w:rsidRPr="1F2ABCFC">
        <w:rPr>
          <w:rFonts w:ascii="Calibri" w:hAnsi="Calibri" w:cs="Calibri"/>
          <w:b/>
          <w:bCs/>
        </w:rPr>
        <w:t>Daylight</w:t>
      </w:r>
      <w:proofErr w:type="spellEnd"/>
      <w:r w:rsidRPr="1F2ABCFC">
        <w:rPr>
          <w:rFonts w:ascii="Calibri" w:hAnsi="Calibri" w:cs="Calibri"/>
          <w:b/>
          <w:bCs/>
        </w:rPr>
        <w:t xml:space="preserve"> </w:t>
      </w:r>
      <w:proofErr w:type="spellStart"/>
      <w:r w:rsidRPr="1F2ABCFC">
        <w:rPr>
          <w:rFonts w:ascii="Calibri" w:hAnsi="Calibri" w:cs="Calibri"/>
          <w:b/>
          <w:bCs/>
        </w:rPr>
        <w:t>harvesting</w:t>
      </w:r>
      <w:proofErr w:type="spellEnd"/>
      <w:r w:rsidRPr="1F2ABCFC">
        <w:rPr>
          <w:rFonts w:ascii="Calibri" w:hAnsi="Calibri" w:cs="Calibri"/>
          <w:b/>
          <w:bCs/>
        </w:rPr>
        <w:t xml:space="preserve"> (</w:t>
      </w:r>
      <w:r w:rsidR="00431840">
        <w:rPr>
          <w:rFonts w:ascii="Calibri" w:hAnsi="Calibri" w:cs="Calibri"/>
          <w:b/>
          <w:bCs/>
        </w:rPr>
        <w:t>czujniki</w:t>
      </w:r>
      <w:r w:rsidRPr="1F2ABCFC">
        <w:rPr>
          <w:rFonts w:ascii="Calibri" w:hAnsi="Calibri" w:cs="Calibri"/>
          <w:b/>
          <w:bCs/>
        </w:rPr>
        <w:t xml:space="preserve"> światła dziennego):</w:t>
      </w:r>
      <w:r w:rsidRPr="1F2ABCFC">
        <w:rPr>
          <w:rFonts w:ascii="Calibri" w:hAnsi="Calibri" w:cs="Calibri"/>
        </w:rPr>
        <w:t xml:space="preserve"> To rozwiązanie szczególnie istotne w miejscach półotwartych, takich jak wiaty przystankowe, przejścia podziemne z dostępem do światła </w:t>
      </w:r>
      <w:r w:rsidR="17F48E8C" w:rsidRPr="1F2ABCFC">
        <w:rPr>
          <w:rFonts w:ascii="Calibri" w:hAnsi="Calibri" w:cs="Calibri"/>
        </w:rPr>
        <w:t xml:space="preserve">dziennego </w:t>
      </w:r>
      <w:r w:rsidRPr="1F2ABCFC">
        <w:rPr>
          <w:rFonts w:ascii="Calibri" w:hAnsi="Calibri" w:cs="Calibri"/>
        </w:rPr>
        <w:t>czy zadaszone targowiska. Zaawansowane sensory stale monitorują poziom</w:t>
      </w:r>
      <w:r w:rsidR="551D512C" w:rsidRPr="1F2ABCFC">
        <w:rPr>
          <w:rFonts w:ascii="Calibri" w:hAnsi="Calibri" w:cs="Calibri"/>
        </w:rPr>
        <w:t xml:space="preserve"> oświetlenia</w:t>
      </w:r>
      <w:r w:rsidRPr="1F2ABCFC">
        <w:rPr>
          <w:rFonts w:ascii="Calibri" w:hAnsi="Calibri" w:cs="Calibri"/>
        </w:rPr>
        <w:t xml:space="preserve"> dostarczanych przez słońce i wysyłają sygnał do sterowników opraw, aby te jedynie „doświetlały” przestrzeń do wymaga</w:t>
      </w:r>
      <w:r w:rsidR="5F4E45F2" w:rsidRPr="1F2ABCFC">
        <w:rPr>
          <w:rFonts w:ascii="Calibri" w:hAnsi="Calibri" w:cs="Calibri"/>
        </w:rPr>
        <w:t>nych założeń</w:t>
      </w:r>
      <w:r w:rsidRPr="1F2ABCFC">
        <w:rPr>
          <w:rFonts w:ascii="Calibri" w:hAnsi="Calibri" w:cs="Calibri"/>
        </w:rPr>
        <w:t>.</w:t>
      </w:r>
    </w:p>
    <w:p w14:paraId="46B3F17A" w14:textId="77777777" w:rsidR="00D97640" w:rsidRPr="002B0330" w:rsidRDefault="00D97640" w:rsidP="00D97640">
      <w:pPr>
        <w:pStyle w:val="NormalnyWeb"/>
        <w:numPr>
          <w:ilvl w:val="0"/>
          <w:numId w:val="3"/>
        </w:numPr>
        <w:rPr>
          <w:rFonts w:ascii="Calibri" w:hAnsi="Calibri" w:cs="Calibri"/>
        </w:rPr>
      </w:pPr>
      <w:r w:rsidRPr="002B0330">
        <w:rPr>
          <w:rFonts w:ascii="Calibri" w:hAnsi="Calibri" w:cs="Calibri"/>
          <w:b/>
          <w:bCs/>
        </w:rPr>
        <w:t>Adaptacyjne harmonogramy i nocne redukcje mocy:</w:t>
      </w:r>
      <w:r w:rsidRPr="002B0330">
        <w:rPr>
          <w:rFonts w:ascii="Calibri" w:hAnsi="Calibri" w:cs="Calibri"/>
        </w:rPr>
        <w:t xml:space="preserve"> Nawet bez skomplikowanej </w:t>
      </w:r>
      <w:proofErr w:type="spellStart"/>
      <w:r w:rsidRPr="002B0330">
        <w:rPr>
          <w:rFonts w:ascii="Calibri" w:hAnsi="Calibri" w:cs="Calibri"/>
        </w:rPr>
        <w:t>sensoryki</w:t>
      </w:r>
      <w:proofErr w:type="spellEnd"/>
      <w:r w:rsidRPr="002B0330">
        <w:rPr>
          <w:rFonts w:ascii="Calibri" w:hAnsi="Calibri" w:cs="Calibri"/>
        </w:rPr>
        <w:t>, nowoczesne oprawy mogą pracować według elastycznych profili. Najczęściej stosuje się redukcję strumienia świetlnego w godzinach głębokiej nocy (np. między 23:00 a 4:00), kiedy ruch uliczny zamiera. Pozwala to na zachowanie oświetlenia ciągów komunikacyjnych przy drastycznym spadku zużycia prądu.</w:t>
      </w:r>
    </w:p>
    <w:p w14:paraId="0043A832" w14:textId="77777777" w:rsidR="00D97640" w:rsidRPr="002B0330" w:rsidRDefault="00D97640" w:rsidP="00D97640">
      <w:pPr>
        <w:pStyle w:val="NormalnyWeb"/>
        <w:rPr>
          <w:rFonts w:ascii="Calibri" w:hAnsi="Calibri" w:cs="Calibri"/>
        </w:rPr>
      </w:pPr>
      <w:r w:rsidRPr="002B0330">
        <w:rPr>
          <w:rFonts w:ascii="Calibri" w:hAnsi="Calibri" w:cs="Calibri"/>
        </w:rPr>
        <w:t>Wdrażanie takich rozwiązań wymaga jednak czegoś więcej niż tylko dobrego sprzętu – potrzebna jest wiedza o jego właściwej konfiguracji.</w:t>
      </w:r>
    </w:p>
    <w:p w14:paraId="3E983598" w14:textId="2FF8F59C" w:rsidR="00D97640" w:rsidRPr="00431840" w:rsidRDefault="00F2055C" w:rsidP="49856663">
      <w:pPr>
        <w:pStyle w:val="NormalnyWeb"/>
        <w:spacing w:before="240" w:beforeAutospacing="0" w:after="240" w:afterAutospacing="0" w:line="259" w:lineRule="auto"/>
        <w:rPr>
          <w:rFonts w:ascii="Calibri" w:hAnsi="Calibri" w:cs="Calibri"/>
          <w:i/>
          <w:iCs/>
          <w:color w:val="000000" w:themeColor="text1"/>
        </w:rPr>
      </w:pPr>
      <w:r w:rsidRPr="00431840">
        <w:rPr>
          <w:rFonts w:ascii="Calibri" w:hAnsi="Calibri" w:cs="Calibri"/>
        </w:rPr>
        <w:lastRenderedPageBreak/>
        <w:t xml:space="preserve">Norbert Chrzanowski, Dyrektor Techniczny </w:t>
      </w:r>
      <w:r w:rsidR="002B0330" w:rsidRPr="00431840">
        <w:rPr>
          <w:rFonts w:ascii="Calibri" w:hAnsi="Calibri" w:cs="Calibri"/>
        </w:rPr>
        <w:t xml:space="preserve">z </w:t>
      </w:r>
      <w:r w:rsidR="00D97640" w:rsidRPr="00431840">
        <w:rPr>
          <w:rFonts w:ascii="Calibri" w:hAnsi="Calibri" w:cs="Calibri"/>
        </w:rPr>
        <w:t xml:space="preserve">LED </w:t>
      </w:r>
      <w:proofErr w:type="spellStart"/>
      <w:r w:rsidR="00D97640" w:rsidRPr="00431840">
        <w:rPr>
          <w:rFonts w:ascii="Calibri" w:hAnsi="Calibri" w:cs="Calibri"/>
        </w:rPr>
        <w:t>line</w:t>
      </w:r>
      <w:proofErr w:type="spellEnd"/>
      <w:r w:rsidR="00D97640" w:rsidRPr="00431840">
        <w:rPr>
          <w:rFonts w:ascii="Calibri" w:hAnsi="Calibri" w:cs="Calibri"/>
        </w:rPr>
        <w:t xml:space="preserve"> wyjaśnia: „</w:t>
      </w:r>
      <w:r w:rsidR="20E61CC7" w:rsidRPr="00431840">
        <w:rPr>
          <w:rFonts w:ascii="Calibri" w:hAnsi="Calibri" w:cs="Calibri"/>
          <w:color w:val="000000" w:themeColor="text1"/>
        </w:rPr>
        <w:t>Kluczem do realnej efektywności nie jest samo zastosowanie czujnika zmierzchu, lecz właściwe dobranie sch</w:t>
      </w:r>
      <w:r w:rsidR="6190AB03" w:rsidRPr="00431840">
        <w:rPr>
          <w:rFonts w:ascii="Calibri" w:hAnsi="Calibri" w:cs="Calibri"/>
          <w:color w:val="000000" w:themeColor="text1"/>
        </w:rPr>
        <w:t>ematu ściemniania dla określonego miejsca</w:t>
      </w:r>
      <w:r w:rsidR="20E61CC7" w:rsidRPr="00431840">
        <w:rPr>
          <w:rFonts w:ascii="Calibri" w:hAnsi="Calibri" w:cs="Calibri"/>
          <w:color w:val="000000" w:themeColor="text1"/>
        </w:rPr>
        <w:t xml:space="preserve">. Dzięki temu instalacja nie reaguje nerwowo na krótkotrwałe spadki natężenia światła – np. przy przelotnym zachmurzeniu czy chwilowych rozbłyskach od reflektorów – tylko stabilnie podąża za naturalnym rytmem dobowym. Nowoczesne układy zasilające w naszych oprawach mogą adaptować się do warunków otoczenia, dlatego przejście między światłem dziennym a sztucznym pozostaje praktycznie niezauważalne dla oka, a zużycie energii spada dokładnie wtedy, gdy światło dzienne faktycznie </w:t>
      </w:r>
      <w:r w:rsidR="20E61CC7" w:rsidRPr="00431840">
        <w:rPr>
          <w:rFonts w:ascii="Calibri" w:hAnsi="Calibri" w:cs="Calibri"/>
          <w:i/>
          <w:iCs/>
          <w:color w:val="000000" w:themeColor="text1"/>
        </w:rPr>
        <w:t>pracuje</w:t>
      </w:r>
      <w:r w:rsidR="20E61CC7" w:rsidRPr="00431840">
        <w:rPr>
          <w:rFonts w:ascii="Calibri" w:hAnsi="Calibri" w:cs="Calibri"/>
          <w:color w:val="000000" w:themeColor="text1"/>
        </w:rPr>
        <w:t xml:space="preserve"> za nas.</w:t>
      </w:r>
      <w:r w:rsidR="5040A4B3" w:rsidRPr="00431840">
        <w:rPr>
          <w:rFonts w:ascii="Calibri" w:hAnsi="Calibri" w:cs="Calibri"/>
          <w:color w:val="000000" w:themeColor="text1"/>
        </w:rPr>
        <w:t>”</w:t>
      </w:r>
    </w:p>
    <w:p w14:paraId="704CE13B" w14:textId="77777777" w:rsidR="00D97640" w:rsidRPr="002B0330" w:rsidRDefault="00D97640" w:rsidP="00D97640">
      <w:pPr>
        <w:pStyle w:val="NormalnyWeb"/>
        <w:rPr>
          <w:rFonts w:ascii="Calibri" w:hAnsi="Calibri" w:cs="Calibri"/>
        </w:rPr>
      </w:pPr>
      <w:r w:rsidRPr="002B0330">
        <w:rPr>
          <w:rFonts w:ascii="Calibri" w:hAnsi="Calibri" w:cs="Calibri"/>
        </w:rPr>
        <w:t>Realizacja takich systemów wiąże się z koniecznością stosowania protokołów komunikacyjnych (np. DALI), co pozwala na zdalne zarządzanie infrastrukturą. Korzyści są wymierne: niższe rachunki za energię, mniejsza emisja CO2 oraz wydłużona żywotność samych diod LED, które rzadziej pracują na 100% swojej mocy.</w:t>
      </w:r>
    </w:p>
    <w:p w14:paraId="50699AEE" w14:textId="77777777" w:rsidR="00D97640" w:rsidRPr="002B0330" w:rsidRDefault="00D97640" w:rsidP="00D97640">
      <w:pPr>
        <w:pStyle w:val="Nagwek2"/>
        <w:rPr>
          <w:rFonts w:ascii="Calibri" w:hAnsi="Calibri" w:cs="Calibri"/>
          <w:sz w:val="24"/>
          <w:szCs w:val="24"/>
        </w:rPr>
      </w:pPr>
      <w:r w:rsidRPr="002B0330">
        <w:rPr>
          <w:rFonts w:ascii="Calibri" w:hAnsi="Calibri" w:cs="Calibri"/>
          <w:sz w:val="24"/>
          <w:szCs w:val="24"/>
        </w:rPr>
        <w:t>Normy, ekologia i walka z zanieczyszczeniem światłem</w:t>
      </w:r>
    </w:p>
    <w:p w14:paraId="7E697818" w14:textId="77777777" w:rsidR="00D97640" w:rsidRPr="002B0330" w:rsidRDefault="00D97640" w:rsidP="00D97640">
      <w:pPr>
        <w:pStyle w:val="NormalnyWeb"/>
        <w:rPr>
          <w:rFonts w:ascii="Calibri" w:hAnsi="Calibri" w:cs="Calibri"/>
        </w:rPr>
      </w:pPr>
      <w:r w:rsidRPr="002B0330">
        <w:rPr>
          <w:rFonts w:ascii="Calibri" w:hAnsi="Calibri" w:cs="Calibri"/>
        </w:rPr>
        <w:t>Planowanie oświetlenia miejskiego to także odpowiedzialność za środowisko naturalne. Coraz większy nacisk kładzie się na walkę z zanieczyszczeniem światłem (</w:t>
      </w:r>
      <w:proofErr w:type="spellStart"/>
      <w:r w:rsidRPr="002B0330">
        <w:rPr>
          <w:rFonts w:ascii="Calibri" w:hAnsi="Calibri" w:cs="Calibri"/>
        </w:rPr>
        <w:t>light</w:t>
      </w:r>
      <w:proofErr w:type="spellEnd"/>
      <w:r w:rsidRPr="002B0330">
        <w:rPr>
          <w:rFonts w:ascii="Calibri" w:hAnsi="Calibri" w:cs="Calibri"/>
        </w:rPr>
        <w:t xml:space="preserve"> </w:t>
      </w:r>
      <w:proofErr w:type="spellStart"/>
      <w:r w:rsidRPr="002B0330">
        <w:rPr>
          <w:rFonts w:ascii="Calibri" w:hAnsi="Calibri" w:cs="Calibri"/>
        </w:rPr>
        <w:t>pollution</w:t>
      </w:r>
      <w:proofErr w:type="spellEnd"/>
      <w:r w:rsidRPr="002B0330">
        <w:rPr>
          <w:rFonts w:ascii="Calibri" w:hAnsi="Calibri" w:cs="Calibri"/>
        </w:rPr>
        <w:t>), które zaburza rytm dobowy ludzi i zwierząt oraz uniemożliwia obserwację nocnego nieba.</w:t>
      </w:r>
    </w:p>
    <w:p w14:paraId="2F31368B" w14:textId="77777777" w:rsidR="00D97640" w:rsidRPr="002B0330" w:rsidRDefault="00D97640" w:rsidP="00D97640">
      <w:pPr>
        <w:pStyle w:val="NormalnyWeb"/>
        <w:rPr>
          <w:rFonts w:ascii="Calibri" w:hAnsi="Calibri" w:cs="Calibri"/>
        </w:rPr>
      </w:pPr>
      <w:r w:rsidRPr="002B0330">
        <w:rPr>
          <w:rFonts w:ascii="Calibri" w:hAnsi="Calibri" w:cs="Calibri"/>
        </w:rPr>
        <w:t>Regulacje i dobre praktyki inżynierskie nakazują, aby oprawy uliczne charakteryzowały się parametrem ULOR (</w:t>
      </w:r>
      <w:proofErr w:type="spellStart"/>
      <w:r w:rsidRPr="002B0330">
        <w:rPr>
          <w:rFonts w:ascii="Calibri" w:hAnsi="Calibri" w:cs="Calibri"/>
        </w:rPr>
        <w:t>Upward</w:t>
      </w:r>
      <w:proofErr w:type="spellEnd"/>
      <w:r w:rsidRPr="002B0330">
        <w:rPr>
          <w:rFonts w:ascii="Calibri" w:hAnsi="Calibri" w:cs="Calibri"/>
        </w:rPr>
        <w:t xml:space="preserve"> </w:t>
      </w:r>
      <w:proofErr w:type="spellStart"/>
      <w:r w:rsidRPr="002B0330">
        <w:rPr>
          <w:rFonts w:ascii="Calibri" w:hAnsi="Calibri" w:cs="Calibri"/>
        </w:rPr>
        <w:t>Light</w:t>
      </w:r>
      <w:proofErr w:type="spellEnd"/>
      <w:r w:rsidRPr="002B0330">
        <w:rPr>
          <w:rFonts w:ascii="Calibri" w:hAnsi="Calibri" w:cs="Calibri"/>
        </w:rPr>
        <w:t xml:space="preserve"> </w:t>
      </w:r>
      <w:proofErr w:type="spellStart"/>
      <w:r w:rsidRPr="002B0330">
        <w:rPr>
          <w:rFonts w:ascii="Calibri" w:hAnsi="Calibri" w:cs="Calibri"/>
        </w:rPr>
        <w:t>Output</w:t>
      </w:r>
      <w:proofErr w:type="spellEnd"/>
      <w:r w:rsidRPr="002B0330">
        <w:rPr>
          <w:rFonts w:ascii="Calibri" w:hAnsi="Calibri" w:cs="Calibri"/>
        </w:rPr>
        <w:t xml:space="preserve"> Ratio) bliskim 0% – co oznacza, że strumień światła kierowany jest wyłącznie w dół, na chodnik i jezdnię, a nie w niebo. Równie istotna jest barwa światła. Odchodzi się od zimnych, niebieskawych barw na rzecz cieplejszych tonacji (3000K, a nawet 2700K), które są mniej szkodliwe dla ekosystemu.</w:t>
      </w:r>
    </w:p>
    <w:p w14:paraId="0E0635DC" w14:textId="77777777" w:rsidR="00D97640" w:rsidRPr="002B0330" w:rsidRDefault="00D97640" w:rsidP="00D97640">
      <w:pPr>
        <w:pStyle w:val="NormalnyWeb"/>
        <w:rPr>
          <w:rFonts w:ascii="Calibri" w:hAnsi="Calibri" w:cs="Calibri"/>
        </w:rPr>
      </w:pPr>
      <w:r w:rsidRPr="002B0330">
        <w:rPr>
          <w:rFonts w:ascii="Calibri" w:hAnsi="Calibri" w:cs="Calibri"/>
        </w:rPr>
        <w:t>Zalecenia te znajdują odzwierciedlenie w dokumentach Rzecznika Praw Obywatelskich oraz wytycznych organizacji ekologicznych. Postulują one ograniczenie emisji niebieskiego spektrum fal oraz stosowanie inteligentnego ściemniania, gdy w pobliżu nie ma użytkowników.</w:t>
      </w:r>
    </w:p>
    <w:p w14:paraId="1F4CF7B7" w14:textId="1687B630" w:rsidR="00D97640" w:rsidRPr="002B0330" w:rsidRDefault="00D97640" w:rsidP="002B0330">
      <w:pPr>
        <w:pStyle w:val="NormalnyWeb"/>
        <w:ind w:left="720"/>
        <w:rPr>
          <w:rFonts w:ascii="Calibri" w:hAnsi="Calibri" w:cs="Calibri"/>
        </w:rPr>
      </w:pPr>
      <w:r w:rsidRPr="49856663">
        <w:rPr>
          <w:rFonts w:ascii="Calibri" w:hAnsi="Calibri" w:cs="Calibri"/>
        </w:rPr>
        <w:t>Jak zauważa ekspert</w:t>
      </w:r>
      <w:r w:rsidR="00B63642" w:rsidRPr="49856663">
        <w:rPr>
          <w:rFonts w:ascii="Calibri" w:hAnsi="Calibri" w:cs="Calibri"/>
        </w:rPr>
        <w:t xml:space="preserve"> z</w:t>
      </w:r>
      <w:r w:rsidRPr="49856663">
        <w:rPr>
          <w:rFonts w:ascii="Calibri" w:hAnsi="Calibri" w:cs="Calibri"/>
        </w:rPr>
        <w:t xml:space="preserve"> LED </w:t>
      </w:r>
      <w:proofErr w:type="spellStart"/>
      <w:r w:rsidRPr="49856663">
        <w:rPr>
          <w:rFonts w:ascii="Calibri" w:hAnsi="Calibri" w:cs="Calibri"/>
        </w:rPr>
        <w:t>line</w:t>
      </w:r>
      <w:proofErr w:type="spellEnd"/>
      <w:r w:rsidRPr="49856663">
        <w:rPr>
          <w:rFonts w:ascii="Calibri" w:hAnsi="Calibri" w:cs="Calibri"/>
        </w:rPr>
        <w:t xml:space="preserve">: </w:t>
      </w:r>
      <w:r w:rsidRPr="49856663">
        <w:rPr>
          <w:rFonts w:ascii="Calibri" w:hAnsi="Calibri" w:cs="Calibri"/>
          <w:i/>
          <w:iCs/>
        </w:rPr>
        <w:t xml:space="preserve">„Projektując infrastrukturę miejską, musimy patrzeć szerzej niż tylko na oszczędność kilowatogodzin. Równie ważna jest 'higiena świetlna'. Właściwie zaprojektowana soczewka w oprawie ulicznej to taka, która precyzyjnie odcina światło tam, gdzie nie jest ono potrzebne – np. na fasadach budynków mieszkalnych czy terenach zielonych. Łącząc precyzyjną optykę z ciepłą barwą światła, tworzymy przestrzeń miejską, która jest bezpieczna dla </w:t>
      </w:r>
      <w:r w:rsidR="59CED19C" w:rsidRPr="49856663">
        <w:rPr>
          <w:rFonts w:ascii="Calibri" w:hAnsi="Calibri" w:cs="Calibri"/>
          <w:i/>
          <w:iCs/>
        </w:rPr>
        <w:t>użytkowników</w:t>
      </w:r>
      <w:r w:rsidRPr="49856663">
        <w:rPr>
          <w:rFonts w:ascii="Calibri" w:hAnsi="Calibri" w:cs="Calibri"/>
          <w:i/>
          <w:iCs/>
        </w:rPr>
        <w:t>, ale jednocześnie nieinwazyjna dla mieszkańców i miejskiej fauny.”</w:t>
      </w:r>
    </w:p>
    <w:p w14:paraId="66C7E332" w14:textId="77777777" w:rsidR="00D97640" w:rsidRPr="002B0330" w:rsidRDefault="00D97640" w:rsidP="00D97640">
      <w:pPr>
        <w:pStyle w:val="Nagwek2"/>
        <w:rPr>
          <w:rFonts w:ascii="Calibri" w:hAnsi="Calibri" w:cs="Calibri"/>
          <w:sz w:val="24"/>
          <w:szCs w:val="24"/>
        </w:rPr>
      </w:pPr>
      <w:r w:rsidRPr="002B0330">
        <w:rPr>
          <w:rFonts w:ascii="Calibri" w:hAnsi="Calibri" w:cs="Calibri"/>
          <w:sz w:val="24"/>
          <w:szCs w:val="24"/>
        </w:rPr>
        <w:t>Planowanie modernizacji – od audytu do realizacji</w:t>
      </w:r>
    </w:p>
    <w:p w14:paraId="1D63EC74" w14:textId="77777777" w:rsidR="00D97640" w:rsidRPr="002B0330" w:rsidRDefault="00D97640" w:rsidP="00D97640">
      <w:pPr>
        <w:pStyle w:val="NormalnyWeb"/>
        <w:rPr>
          <w:rFonts w:ascii="Calibri" w:hAnsi="Calibri" w:cs="Calibri"/>
        </w:rPr>
      </w:pPr>
      <w:r w:rsidRPr="002B0330">
        <w:rPr>
          <w:rFonts w:ascii="Calibri" w:hAnsi="Calibri" w:cs="Calibri"/>
        </w:rPr>
        <w:t xml:space="preserve">Proces inwestycyjny w miastach zaczyna się na długo przed wbiciem pierwszej łopaty. Władze samorządowe, często posiłkując się zewnętrznymi audytami energetycznymi, opracowują „Plany Modernizacji Oświetlenia”. Kluczowe jest tu precyzyjne określenie standardów technicznych: </w:t>
      </w:r>
      <w:r w:rsidRPr="002B0330">
        <w:rPr>
          <w:rFonts w:ascii="Calibri" w:hAnsi="Calibri" w:cs="Calibri"/>
        </w:rPr>
        <w:lastRenderedPageBreak/>
        <w:t>minimalnego natężenia na drodze danej klasy, równomierności oświetlenia oraz wspomnianych wcześniej parametrów ekologicznych.</w:t>
      </w:r>
    </w:p>
    <w:p w14:paraId="1D72D836" w14:textId="77777777" w:rsidR="00D97640" w:rsidRPr="002B0330" w:rsidRDefault="00D97640" w:rsidP="00D97640">
      <w:pPr>
        <w:pStyle w:val="NormalnyWeb"/>
        <w:rPr>
          <w:rFonts w:ascii="Calibri" w:hAnsi="Calibri" w:cs="Calibri"/>
        </w:rPr>
      </w:pPr>
      <w:r w:rsidRPr="002B0330">
        <w:rPr>
          <w:rFonts w:ascii="Calibri" w:hAnsi="Calibri" w:cs="Calibri"/>
        </w:rPr>
        <w:t>Samorządy coraz chętniej sięgają po finansowanie zewnętrzne, np. z program</w:t>
      </w:r>
      <w:r w:rsidR="002B0330">
        <w:rPr>
          <w:rFonts w:ascii="Calibri" w:hAnsi="Calibri" w:cs="Calibri"/>
        </w:rPr>
        <w:t>ów</w:t>
      </w:r>
      <w:r w:rsidRPr="002B0330">
        <w:rPr>
          <w:rFonts w:ascii="Calibri" w:hAnsi="Calibri" w:cs="Calibri"/>
        </w:rPr>
        <w:t xml:space="preserve"> rządow</w:t>
      </w:r>
      <w:r w:rsidR="002B0330">
        <w:rPr>
          <w:rFonts w:ascii="Calibri" w:hAnsi="Calibri" w:cs="Calibri"/>
        </w:rPr>
        <w:t>ych</w:t>
      </w:r>
      <w:r w:rsidRPr="002B0330">
        <w:rPr>
          <w:rFonts w:ascii="Calibri" w:hAnsi="Calibri" w:cs="Calibri"/>
        </w:rPr>
        <w:t xml:space="preserve"> czy funduszy unijnych dedykowanych efektywności energetycznej. Ostateczną realizacją zajmują się jednostki budżetowe (np. Wydziały Gospodarki Komunalnej), które nadzorują przygotowanie dokumentacji technicznej i odbiory prac.</w:t>
      </w:r>
    </w:p>
    <w:p w14:paraId="59DD60B0" w14:textId="272AAEDC" w:rsidR="00D97640" w:rsidRPr="002B0330" w:rsidRDefault="00D97640" w:rsidP="00D97640">
      <w:pPr>
        <w:pStyle w:val="NormalnyWeb"/>
        <w:rPr>
          <w:rFonts w:ascii="Calibri" w:hAnsi="Calibri" w:cs="Calibri"/>
        </w:rPr>
      </w:pPr>
      <w:r w:rsidRPr="49856663">
        <w:rPr>
          <w:rFonts w:ascii="Calibri" w:hAnsi="Calibri" w:cs="Calibri"/>
        </w:rPr>
        <w:t xml:space="preserve">Inwestycja w </w:t>
      </w:r>
      <w:r w:rsidR="078B3938" w:rsidRPr="49856663">
        <w:rPr>
          <w:rFonts w:ascii="Calibri" w:hAnsi="Calibri" w:cs="Calibri"/>
        </w:rPr>
        <w:t>oprawy oświetleniowe LED,</w:t>
      </w:r>
      <w:r w:rsidRPr="49856663">
        <w:rPr>
          <w:rFonts w:ascii="Calibri" w:hAnsi="Calibri" w:cs="Calibri"/>
        </w:rPr>
        <w:t xml:space="preserve"> zintegrowane z systemami sterowania to działanie długofalowe. Choć koszt początkowy może być wyższy niż przy prostej wymianie "jeden do jednego", to długa żywotność opraw (często przekraczająca 50-100 tys. godzin) oraz oszczędności wynikające z inteligentnego zarządzania światłem sprawiają, że zwrot z inwestycji następuje bardzo szybko.</w:t>
      </w:r>
    </w:p>
    <w:p w14:paraId="1CD32E4F" w14:textId="77777777" w:rsidR="00D97640" w:rsidRPr="002B0330" w:rsidRDefault="00D97640" w:rsidP="00D97640">
      <w:pPr>
        <w:pStyle w:val="NormalnyWeb"/>
        <w:rPr>
          <w:rFonts w:ascii="Calibri" w:hAnsi="Calibri" w:cs="Calibri"/>
        </w:rPr>
      </w:pPr>
      <w:r w:rsidRPr="002B0330">
        <w:rPr>
          <w:rFonts w:ascii="Calibri" w:hAnsi="Calibri" w:cs="Calibri"/>
        </w:rPr>
        <w:t>Podsumowując, nowoczesne miasto to takie, które potrafi czerpać ze słońca, kiedy to możliwe, i wspierać się technologią LED, kiedy to konieczne. Efektywne łączenie tych dwóch światów wymaga jednak zastosowania zaawansowanej automatyki, przestrzegania norm środowiskowych oraz świadomego planowania, w którym technologia służy zarówno budżetowi, jak i mieszkańcom.</w:t>
      </w:r>
    </w:p>
    <w:p w14:paraId="6CA45587" w14:textId="77777777" w:rsidR="007F7D03" w:rsidRPr="002B0330" w:rsidRDefault="007F7D03">
      <w:pPr>
        <w:pStyle w:val="Tekstpodstawowy"/>
        <w:rPr>
          <w:rFonts w:ascii="Calibri" w:hAnsi="Calibri" w:cs="Calibri"/>
          <w:lang w:val="pl-PL"/>
        </w:rPr>
      </w:pPr>
    </w:p>
    <w:sectPr w:rsidR="007F7D03" w:rsidRPr="002B0330">
      <w:footnotePr>
        <w:numRestart w:val="eachSect"/>
      </w:footnotePr>
      <w:pgSz w:w="12240" w:h="15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352C566E"/>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1" w15:restartNumberingAfterBreak="0">
    <w:nsid w:val="0000A991"/>
    <w:multiLevelType w:val="multilevel"/>
    <w:tmpl w:val="821E5734"/>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2" w15:restartNumberingAfterBreak="0">
    <w:nsid w:val="20EB17F5"/>
    <w:multiLevelType w:val="multilevel"/>
    <w:tmpl w:val="7EC6E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4356250">
    <w:abstractNumId w:val="0"/>
  </w:num>
  <w:num w:numId="2" w16cid:durableId="1220093093">
    <w:abstractNumId w:val="1"/>
  </w:num>
  <w:num w:numId="3" w16cid:durableId="17682305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footnotePr>
    <w:numRestart w:val="eachSec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D03"/>
    <w:rsid w:val="00175DA2"/>
    <w:rsid w:val="002B0330"/>
    <w:rsid w:val="00322E01"/>
    <w:rsid w:val="00431840"/>
    <w:rsid w:val="00532081"/>
    <w:rsid w:val="007F7D03"/>
    <w:rsid w:val="008B2183"/>
    <w:rsid w:val="00B63642"/>
    <w:rsid w:val="00BF136B"/>
    <w:rsid w:val="00C33850"/>
    <w:rsid w:val="00D97640"/>
    <w:rsid w:val="00F2055C"/>
    <w:rsid w:val="04B242F4"/>
    <w:rsid w:val="078B3938"/>
    <w:rsid w:val="0C56C016"/>
    <w:rsid w:val="1776C38C"/>
    <w:rsid w:val="17F48E8C"/>
    <w:rsid w:val="1F2ABCFC"/>
    <w:rsid w:val="20E61CC7"/>
    <w:rsid w:val="2C03D31B"/>
    <w:rsid w:val="2DCC5077"/>
    <w:rsid w:val="35BD2752"/>
    <w:rsid w:val="41C7F8B1"/>
    <w:rsid w:val="49856663"/>
    <w:rsid w:val="5040A4B3"/>
    <w:rsid w:val="551D512C"/>
    <w:rsid w:val="59CED19C"/>
    <w:rsid w:val="5BB78E48"/>
    <w:rsid w:val="5F4E45F2"/>
    <w:rsid w:val="6190AB03"/>
    <w:rsid w:val="620EC007"/>
    <w:rsid w:val="65E34F40"/>
    <w:rsid w:val="6D0903DE"/>
    <w:rsid w:val="6DBCF26A"/>
    <w:rsid w:val="742551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7DC71"/>
  <w15:docId w15:val="{75253909-9D54-874A-B180-005B716ED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 w:eastAsia="en-US" w:bidi="ar-SA"/>
      </w:rPr>
    </w:rPrDefault>
    <w:pPrDefault>
      <w:pPr>
        <w:spacing w:after="200"/>
      </w:pPr>
    </w:pPrDefault>
  </w:docDefaults>
  <w:latentStyles w:defLockedState="0" w:defUIPriority="0" w:defSemiHidden="0" w:defUnhideWhenUsed="0" w:defQFormat="0" w:count="376">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Tekstpodstawowy"/>
    <w:link w:val="Nagwek1Znak"/>
    <w:uiPriority w:val="9"/>
    <w:qFormat/>
    <w:rsid w:val="00A10F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Tekstpodstawowy"/>
    <w:link w:val="Nagwek2Znak"/>
    <w:uiPriority w:val="9"/>
    <w:semiHidden/>
    <w:unhideWhenUsed/>
    <w:qFormat/>
    <w:rsid w:val="00A10F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Tekstpodstawowy"/>
    <w:link w:val="Nagwek3Znak"/>
    <w:uiPriority w:val="9"/>
    <w:semiHidden/>
    <w:unhideWhenUsed/>
    <w:qFormat/>
    <w:rsid w:val="00A10FD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Tekstpodstawowy"/>
    <w:link w:val="Nagwek4Znak"/>
    <w:uiPriority w:val="9"/>
    <w:semiHidden/>
    <w:unhideWhenUsed/>
    <w:qFormat/>
    <w:rsid w:val="00A10FD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Tekstpodstawowy"/>
    <w:link w:val="Nagwek5Znak"/>
    <w:uiPriority w:val="9"/>
    <w:semiHidden/>
    <w:unhideWhenUsed/>
    <w:qFormat/>
    <w:rsid w:val="00A10FD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Tekstpodstawowy"/>
    <w:link w:val="Nagwek6Znak"/>
    <w:uiPriority w:val="9"/>
    <w:semiHidden/>
    <w:unhideWhenUsed/>
    <w:qFormat/>
    <w:rsid w:val="00A10FD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Tekstpodstawowy"/>
    <w:link w:val="Nagwek7Znak"/>
    <w:uiPriority w:val="9"/>
    <w:semiHidden/>
    <w:unhideWhenUsed/>
    <w:qFormat/>
    <w:rsid w:val="00A10FD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Tekstpodstawowy"/>
    <w:link w:val="Nagwek8Znak"/>
    <w:uiPriority w:val="9"/>
    <w:semiHidden/>
    <w:unhideWhenUsed/>
    <w:qFormat/>
    <w:rsid w:val="00A10FD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Tekstpodstawowy"/>
    <w:link w:val="Nagwek9Znak"/>
    <w:uiPriority w:val="9"/>
    <w:semiHidden/>
    <w:unhideWhenUsed/>
    <w:qFormat/>
    <w:rsid w:val="00A10FD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qFormat/>
    <w:pPr>
      <w:spacing w:before="180" w:after="180"/>
    </w:pPr>
  </w:style>
  <w:style w:type="paragraph" w:customStyle="1" w:styleId="FirstParagraph">
    <w:name w:val="First Paragraph"/>
    <w:basedOn w:val="Tekstpodstawowy"/>
    <w:next w:val="Tekstpodstawowy"/>
    <w:qFormat/>
  </w:style>
  <w:style w:type="paragraph" w:customStyle="1" w:styleId="Compact">
    <w:name w:val="Compact"/>
    <w:basedOn w:val="Tekstpodstawowy"/>
    <w:qFormat/>
    <w:pPr>
      <w:spacing w:before="36" w:after="36"/>
    </w:pPr>
  </w:style>
  <w:style w:type="paragraph" w:styleId="Tytu">
    <w:name w:val="Title"/>
    <w:basedOn w:val="Normalny"/>
    <w:next w:val="Tekstpodstawowy"/>
    <w:link w:val="TytuZnak"/>
    <w:uiPriority w:val="10"/>
    <w:qFormat/>
    <w:rsid w:val="00A10FD9"/>
    <w:pPr>
      <w:spacing w:after="80"/>
      <w:contextualSpacing/>
      <w:jc w:val="center"/>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10FD9"/>
    <w:rPr>
      <w:rFonts w:asciiTheme="majorHAnsi" w:eastAsiaTheme="majorEastAsia" w:hAnsiTheme="majorHAnsi" w:cstheme="majorBidi"/>
      <w:spacing w:val="-10"/>
      <w:kern w:val="28"/>
      <w:sz w:val="56"/>
      <w:szCs w:val="56"/>
    </w:rPr>
  </w:style>
  <w:style w:type="paragraph" w:styleId="Podtytu">
    <w:name w:val="Subtitle"/>
    <w:basedOn w:val="Tytu"/>
    <w:next w:val="Tekstpodstawowy"/>
    <w:link w:val="PodtytuZnak"/>
    <w:uiPriority w:val="11"/>
    <w:qFormat/>
    <w:rsid w:val="00A10FD9"/>
    <w:pPr>
      <w:numPr>
        <w:ilvl w:val="1"/>
      </w:numPr>
    </w:pPr>
    <w:rPr>
      <w:spacing w:val="15"/>
      <w:sz w:val="28"/>
      <w:szCs w:val="28"/>
    </w:rPr>
  </w:style>
  <w:style w:type="character" w:customStyle="1" w:styleId="PodtytuZnak">
    <w:name w:val="Podtytuł Znak"/>
    <w:basedOn w:val="Domylnaczcionkaakapitu"/>
    <w:link w:val="Podtytu"/>
    <w:uiPriority w:val="11"/>
    <w:rsid w:val="00A10FD9"/>
    <w:rPr>
      <w:rFonts w:eastAsiaTheme="majorEastAsia" w:cstheme="majorBidi"/>
      <w:color w:val="595959" w:themeColor="text1" w:themeTint="A6"/>
      <w:spacing w:val="15"/>
      <w:sz w:val="28"/>
      <w:szCs w:val="28"/>
    </w:rPr>
  </w:style>
  <w:style w:type="paragraph" w:customStyle="1" w:styleId="Author">
    <w:name w:val="Author"/>
    <w:next w:val="Tekstpodstawowy"/>
    <w:qFormat/>
    <w:pPr>
      <w:keepNext/>
      <w:keepLines/>
      <w:jc w:val="center"/>
    </w:pPr>
  </w:style>
  <w:style w:type="paragraph" w:styleId="Data">
    <w:name w:val="Date"/>
    <w:next w:val="Tekstpodstawowy"/>
    <w:qFormat/>
    <w:pPr>
      <w:keepNext/>
      <w:keepLines/>
      <w:jc w:val="center"/>
    </w:pPr>
  </w:style>
  <w:style w:type="paragraph" w:customStyle="1" w:styleId="AbstractTitle">
    <w:name w:val="Abstract Title"/>
    <w:basedOn w:val="Normalny"/>
    <w:next w:val="Abstract"/>
    <w:qFormat/>
    <w:pPr>
      <w:keepNext/>
      <w:keepLines/>
      <w:spacing w:before="300" w:after="0"/>
      <w:jc w:val="center"/>
    </w:pPr>
    <w:rPr>
      <w:b/>
      <w:sz w:val="20"/>
      <w:szCs w:val="20"/>
    </w:rPr>
  </w:style>
  <w:style w:type="paragraph" w:customStyle="1" w:styleId="Abstract">
    <w:name w:val="Abstract"/>
    <w:basedOn w:val="Normalny"/>
    <w:next w:val="Tekstpodstawowy"/>
    <w:qFormat/>
    <w:pPr>
      <w:keepNext/>
      <w:keepLines/>
      <w:spacing w:before="100" w:after="300"/>
    </w:pPr>
    <w:rPr>
      <w:sz w:val="20"/>
      <w:szCs w:val="20"/>
    </w:rPr>
  </w:style>
  <w:style w:type="paragraph" w:styleId="Bibliografia">
    <w:name w:val="Bibliography"/>
    <w:basedOn w:val="Normalny"/>
    <w:qFormat/>
  </w:style>
  <w:style w:type="character" w:customStyle="1" w:styleId="Nagwek1Znak">
    <w:name w:val="Nagłówek 1 Znak"/>
    <w:basedOn w:val="Domylnaczcionkaakapitu"/>
    <w:link w:val="Nagwek1"/>
    <w:uiPriority w:val="9"/>
    <w:rsid w:val="00A10FD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10FD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10FD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10FD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10FD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10FD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10FD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10FD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10FD9"/>
    <w:rPr>
      <w:rFonts w:eastAsiaTheme="majorEastAsia" w:cstheme="majorBidi"/>
      <w:color w:val="272727" w:themeColor="text1" w:themeTint="D8"/>
    </w:rPr>
  </w:style>
  <w:style w:type="paragraph" w:styleId="Tekstblokowy">
    <w:name w:val="Block Text"/>
    <w:basedOn w:val="Tekstpodstawowy"/>
    <w:next w:val="Tekstpodstawowy"/>
    <w:uiPriority w:val="9"/>
    <w:unhideWhenUsed/>
    <w:qFormat/>
    <w:pPr>
      <w:spacing w:before="100" w:after="100"/>
      <w:ind w:left="480" w:right="480"/>
    </w:pPr>
  </w:style>
  <w:style w:type="paragraph" w:styleId="Tekstprzypisudolnego">
    <w:name w:val="footnote text"/>
    <w:basedOn w:val="Normalny"/>
    <w:uiPriority w:val="9"/>
    <w:unhideWhenUsed/>
    <w:qFormat/>
  </w:style>
  <w:style w:type="paragraph" w:customStyle="1" w:styleId="FootnoteBlockText">
    <w:name w:val="Footnote Block Text"/>
    <w:basedOn w:val="Tekstprzypisudolnego"/>
    <w:next w:val="Tekstprzypisudolnego"/>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ny"/>
    <w:next w:val="Definition"/>
    <w:pPr>
      <w:keepNext/>
      <w:keepLines/>
      <w:spacing w:after="0"/>
    </w:pPr>
    <w:rPr>
      <w:b/>
    </w:rPr>
  </w:style>
  <w:style w:type="paragraph" w:customStyle="1" w:styleId="Definition">
    <w:name w:val="Definition"/>
    <w:basedOn w:val="Normalny"/>
  </w:style>
  <w:style w:type="paragraph" w:styleId="Legenda">
    <w:name w:val="caption"/>
    <w:basedOn w:val="Normalny"/>
    <w:link w:val="LegendaZnak"/>
    <w:pPr>
      <w:spacing w:after="120"/>
    </w:pPr>
    <w:rPr>
      <w:i/>
    </w:rPr>
  </w:style>
  <w:style w:type="paragraph" w:customStyle="1" w:styleId="TableCaption">
    <w:name w:val="Table Caption"/>
    <w:basedOn w:val="Legenda"/>
    <w:pPr>
      <w:keepNext/>
    </w:pPr>
  </w:style>
  <w:style w:type="paragraph" w:customStyle="1" w:styleId="ImageCaption">
    <w:name w:val="Image Caption"/>
    <w:basedOn w:val="Legenda"/>
  </w:style>
  <w:style w:type="paragraph" w:customStyle="1" w:styleId="Figure">
    <w:name w:val="Figure"/>
    <w:basedOn w:val="Normalny"/>
  </w:style>
  <w:style w:type="paragraph" w:customStyle="1" w:styleId="CaptionedFigure">
    <w:name w:val="Captioned Figure"/>
    <w:basedOn w:val="Figure"/>
    <w:pPr>
      <w:keepNext/>
    </w:pPr>
  </w:style>
  <w:style w:type="character" w:customStyle="1" w:styleId="LegendaZnak">
    <w:name w:val="Legenda Znak"/>
    <w:basedOn w:val="Domylnaczcionkaakapitu"/>
    <w:link w:val="Legenda"/>
  </w:style>
  <w:style w:type="character" w:customStyle="1" w:styleId="VerbatimChar">
    <w:name w:val="Verbatim Char"/>
    <w:basedOn w:val="LegendaZnak"/>
    <w:link w:val="SourceCode"/>
    <w:rPr>
      <w:rFonts w:ascii="Consolas" w:hAnsi="Consolas"/>
      <w:sz w:val="22"/>
    </w:rPr>
  </w:style>
  <w:style w:type="character" w:customStyle="1" w:styleId="SectionNumber">
    <w:name w:val="Section Number"/>
    <w:basedOn w:val="LegendaZnak"/>
  </w:style>
  <w:style w:type="character" w:styleId="Odwoanieprzypisudolnego">
    <w:name w:val="footnote reference"/>
    <w:basedOn w:val="LegendaZnak"/>
    <w:rPr>
      <w:vertAlign w:val="superscript"/>
    </w:rPr>
  </w:style>
  <w:style w:type="character" w:styleId="Hipercze">
    <w:name w:val="Hyperlink"/>
    <w:basedOn w:val="LegendaZnak"/>
    <w:rPr>
      <w:color w:val="156082" w:themeColor="accent1"/>
    </w:rPr>
  </w:style>
  <w:style w:type="paragraph" w:styleId="Nagwekspisutreci">
    <w:name w:val="TOC Heading"/>
    <w:basedOn w:val="Nagwek1"/>
    <w:next w:val="Tekstpodstawowy"/>
    <w:uiPriority w:val="39"/>
    <w:unhideWhenUsed/>
    <w:qFormat/>
    <w:pPr>
      <w:spacing w:before="240" w:line="259" w:lineRule="auto"/>
      <w:outlineLvl w:val="9"/>
    </w:pPr>
  </w:style>
  <w:style w:type="paragraph" w:customStyle="1" w:styleId="SourceCode">
    <w:name w:val="Source Code"/>
    <w:basedOn w:val="Normalny"/>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b/>
      <w:color w:val="008000"/>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color w:val="008000"/>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NormalnyWeb">
    <w:name w:val="Normal (Web)"/>
    <w:basedOn w:val="Normalny"/>
    <w:uiPriority w:val="99"/>
    <w:unhideWhenUsed/>
    <w:rsid w:val="00D97640"/>
    <w:pPr>
      <w:spacing w:before="100" w:beforeAutospacing="1" w:after="100" w:afterAutospacing="1"/>
    </w:pPr>
    <w:rPr>
      <w:rFonts w:ascii="Times New Roman" w:eastAsia="Times New Roman" w:hAnsi="Times New Roman" w:cs="Times New Roman"/>
      <w:lang w:val="pl-PL" w:eastAsia="pl-PL"/>
    </w:rPr>
  </w:style>
  <w:style w:type="paragraph" w:styleId="Tekstkomentarza">
    <w:name w:val="annotation text"/>
    <w:basedOn w:val="Normalny"/>
    <w:link w:val="TekstkomentarzaZnak"/>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619719">
      <w:bodyDiv w:val="1"/>
      <w:marLeft w:val="0"/>
      <w:marRight w:val="0"/>
      <w:marTop w:val="0"/>
      <w:marBottom w:val="0"/>
      <w:divBdr>
        <w:top w:val="none" w:sz="0" w:space="0" w:color="auto"/>
        <w:left w:val="none" w:sz="0" w:space="0" w:color="auto"/>
        <w:bottom w:val="none" w:sz="0" w:space="0" w:color="auto"/>
        <w:right w:val="none" w:sz="0" w:space="0" w:color="auto"/>
      </w:divBdr>
      <w:divsChild>
        <w:div w:id="1321079520">
          <w:blockQuote w:val="1"/>
          <w:marLeft w:val="720"/>
          <w:marRight w:val="720"/>
          <w:marTop w:val="100"/>
          <w:marBottom w:val="100"/>
          <w:divBdr>
            <w:top w:val="none" w:sz="0" w:space="0" w:color="auto"/>
            <w:left w:val="none" w:sz="0" w:space="0" w:color="auto"/>
            <w:bottom w:val="none" w:sz="0" w:space="0" w:color="auto"/>
            <w:right w:val="none" w:sz="0" w:space="0" w:color="auto"/>
          </w:divBdr>
        </w:div>
        <w:div w:id="8697607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977</Words>
  <Characters>5862</Characters>
  <Application>Microsoft Office Word</Application>
  <DocSecurity>0</DocSecurity>
  <Lines>48</Lines>
  <Paragraphs>13</Paragraphs>
  <ScaleCrop>false</ScaleCrop>
  <Company/>
  <LinksUpToDate>false</LinksUpToDate>
  <CharactersWithSpaces>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Dąbrowska–Górska</dc:creator>
  <cp:keywords/>
  <cp:lastModifiedBy>Maria Szruba</cp:lastModifiedBy>
  <cp:revision>3</cp:revision>
  <dcterms:created xsi:type="dcterms:W3CDTF">2026-02-09T10:16:00Z</dcterms:created>
  <dcterms:modified xsi:type="dcterms:W3CDTF">2026-02-09T10:19:00Z</dcterms:modified>
  <dc:language>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ChatGPT Deep Research</vt:lpwstr>
  </property>
</Properties>
</file>