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AABB3" w14:textId="77777777" w:rsidR="00E24494" w:rsidRPr="00E24494" w:rsidRDefault="00E24494" w:rsidP="00620744">
      <w:pPr>
        <w:pStyle w:val="Nagwek1"/>
        <w:rPr>
          <w:rFonts w:eastAsia="Times New Roman"/>
          <w:lang w:eastAsia="pl-PL"/>
        </w:rPr>
      </w:pPr>
      <w:r w:rsidRPr="00E24494">
        <w:rPr>
          <w:rFonts w:eastAsia="Times New Roman"/>
          <w:lang w:eastAsia="pl-PL"/>
        </w:rPr>
        <w:t>Jak minimalizować koszty utrzymania oświetlenia w inwestycjach komercyjnych</w:t>
      </w:r>
      <w:r w:rsidR="00620744">
        <w:rPr>
          <w:rFonts w:eastAsia="Times New Roman"/>
          <w:lang w:eastAsia="pl-PL"/>
        </w:rPr>
        <w:t>?</w:t>
      </w:r>
    </w:p>
    <w:p w14:paraId="24E9BFE1" w14:textId="5717E93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W budynkach komercyjnych koszty energii elektrycznej oraz utrzymania instalacji oświetleniowej stanowią istotną część budżetu operacyjnego. To sprawia, że każdy procent oszczędności w tym obszarze przekłada się na wymierne kwoty w skali roku. </w:t>
      </w:r>
      <w:r w:rsidR="007B2B90" w:rsidRPr="007B2B90">
        <w:rPr>
          <w:rFonts w:eastAsia="Times New Roman" w:cstheme="minorHAnsi"/>
          <w:b/>
          <w:bCs/>
          <w:kern w:val="0"/>
          <w:lang w:eastAsia="pl-PL"/>
          <w14:ligatures w14:val="none"/>
        </w:rPr>
        <w:t>W dobie rosnących cen energii i coraz ostrzejszych wymogów środowiskowych, temat kosztów utrzymania oświetlenia nabiera strategicznego znaczenia w każdej inwestycji komercyjnej.</w:t>
      </w:r>
      <w:r w:rsidR="00CB5CD3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</w:t>
      </w:r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Nic więc dziwnego, że deweloperzy i zarządcy coraz częściej patrzą na oświetlenie przez pryzmat całkowitego kosztu posiadania (TCO – Total </w:t>
      </w:r>
      <w:proofErr w:type="spellStart"/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>Cost</w:t>
      </w:r>
      <w:proofErr w:type="spellEnd"/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of </w:t>
      </w:r>
      <w:proofErr w:type="spellStart"/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>Ownership</w:t>
      </w:r>
      <w:proofErr w:type="spellEnd"/>
      <w:r w:rsidRPr="00E24494">
        <w:rPr>
          <w:rFonts w:eastAsia="Times New Roman" w:cstheme="minorHAnsi"/>
          <w:b/>
          <w:bCs/>
          <w:kern w:val="0"/>
          <w:lang w:eastAsia="pl-PL"/>
          <w14:ligatures w14:val="none"/>
        </w:rPr>
        <w:t>).</w:t>
      </w:r>
    </w:p>
    <w:p w14:paraId="3672EA03" w14:textId="77777777" w:rsidR="00E24494" w:rsidRPr="003966BD" w:rsidRDefault="00E24494" w:rsidP="003966BD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3966BD">
        <w:rPr>
          <w:rFonts w:asciiTheme="minorHAnsi" w:hAnsiTheme="minorHAnsi" w:cstheme="minorHAnsi"/>
          <w:sz w:val="24"/>
          <w:szCs w:val="24"/>
        </w:rPr>
        <w:t>Efektywność energetyczna jako fundament oszczędności</w:t>
      </w:r>
    </w:p>
    <w:p w14:paraId="718855AB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Najważniejszym elementem minimalizacji kosztów pozostaje efektywność energetyczna. Według raportu amerykańskiej agencji DOE, technologia LED zużywa 60–80% mniej energii niż tradycyjne źródła światła, takie jak świetlówki kompaktowe czy lampy sodowe. W praktyce oznacza to, że w biurowcu o powierzchni 20 tys. m², gdzie zainstalowano 2 tys. opraw, rachunki za energię mogą być niższe nawet o kilkaset tysięcy złotych rocznie.</w:t>
      </w:r>
    </w:p>
    <w:p w14:paraId="164B867F" w14:textId="5ED8710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LED-y oferują również wysoką stabilność parametrów świetlnych. Żywotność nowoczesnych modułów sięga </w:t>
      </w:r>
      <w:r w:rsidR="009F3BF4">
        <w:rPr>
          <w:rFonts w:eastAsia="Times New Roman" w:cstheme="minorHAnsi"/>
          <w:kern w:val="0"/>
          <w:lang w:eastAsia="pl-PL"/>
          <w14:ligatures w14:val="none"/>
        </w:rPr>
        <w:t>10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0 tys. godzin pracy, co odpowiada </w:t>
      </w:r>
      <w:r w:rsidR="009F3BF4">
        <w:rPr>
          <w:rFonts w:eastAsia="Times New Roman" w:cstheme="minorHAnsi"/>
          <w:kern w:val="0"/>
          <w:lang w:eastAsia="pl-PL"/>
          <w14:ligatures w14:val="none"/>
        </w:rPr>
        <w:t>ponad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 10 latom użytkowania przy typowym harmonogramie biurowym (12 godzin dziennie, 5 dni w tygodniu).</w:t>
      </w:r>
    </w:p>
    <w:p w14:paraId="6A7375E6" w14:textId="77777777" w:rsidR="00E24494" w:rsidRPr="00E24494" w:rsidRDefault="00E24494" w:rsidP="003966BD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24494">
        <w:rPr>
          <w:rFonts w:asciiTheme="minorHAnsi" w:hAnsiTheme="minorHAnsi" w:cstheme="minorHAnsi"/>
          <w:sz w:val="24"/>
          <w:szCs w:val="24"/>
        </w:rPr>
        <w:t>Serwisowanie i koszty utrzymania</w:t>
      </w:r>
    </w:p>
    <w:p w14:paraId="6A7EE87F" w14:textId="6FED13AD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W przypadku tradycyjnych źródeł światła wymiana żarówek lub świetlówek musiała następować co kilkanaście miesięcy. Każda taka operacja generowała koszty – zarówno zakupu części, jak i samego serwisu. LED-y znacząco redukują to ryzyko. </w:t>
      </w:r>
      <w:r w:rsidR="00620744">
        <w:rPr>
          <w:rFonts w:eastAsia="Times New Roman" w:cstheme="minorHAnsi"/>
          <w:kern w:val="0"/>
          <w:lang w:eastAsia="pl-PL"/>
          <w14:ligatures w14:val="none"/>
        </w:rPr>
        <w:t>Doświadczenie pokazuje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>, że oprawy LED wymagają istotnie mniej prac konserwacyjnych niż tradycyjne rozwiązania.</w:t>
      </w:r>
      <w:r w:rsidR="00620744">
        <w:rPr>
          <w:rFonts w:eastAsia="Times New Roman" w:cstheme="minorHAnsi"/>
          <w:kern w:val="0"/>
          <w:lang w:eastAsia="pl-PL"/>
          <w14:ligatures w14:val="none"/>
        </w:rPr>
        <w:t xml:space="preserve"> Co więcej, część producentów jest na tyle pewn</w:t>
      </w:r>
      <w:r w:rsidR="00D1132F">
        <w:rPr>
          <w:rFonts w:eastAsia="Times New Roman" w:cstheme="minorHAnsi"/>
          <w:kern w:val="0"/>
          <w:lang w:eastAsia="pl-PL"/>
          <w14:ligatures w14:val="none"/>
        </w:rPr>
        <w:t xml:space="preserve">a </w:t>
      </w:r>
      <w:r w:rsidR="00620744">
        <w:rPr>
          <w:rFonts w:eastAsia="Times New Roman" w:cstheme="minorHAnsi"/>
          <w:kern w:val="0"/>
          <w:lang w:eastAsia="pl-PL"/>
          <w14:ligatures w14:val="none"/>
        </w:rPr>
        <w:t xml:space="preserve">jakości </w:t>
      </w:r>
      <w:r w:rsidR="00D1132F">
        <w:rPr>
          <w:rFonts w:eastAsia="Times New Roman" w:cstheme="minorHAnsi"/>
          <w:kern w:val="0"/>
          <w:lang w:eastAsia="pl-PL"/>
          <w14:ligatures w14:val="none"/>
        </w:rPr>
        <w:t>swoich</w:t>
      </w:r>
      <w:r w:rsidR="00620744">
        <w:rPr>
          <w:rFonts w:eastAsia="Times New Roman" w:cstheme="minorHAnsi"/>
          <w:kern w:val="0"/>
          <w:lang w:eastAsia="pl-PL"/>
          <w14:ligatures w14:val="none"/>
        </w:rPr>
        <w:t xml:space="preserve"> opraw, że udziela na nie aż 7 letniej gwarancji. </w:t>
      </w:r>
    </w:p>
    <w:p w14:paraId="21AA3837" w14:textId="2A008F0E" w:rsidR="00E24494" w:rsidRPr="00E24494" w:rsidRDefault="003966BD" w:rsidP="00E24494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>– Zdecydowaliśmy się wprowadzić r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>ozszerzon</w:t>
      </w:r>
      <w:r>
        <w:rPr>
          <w:rFonts w:eastAsia="Times New Roman" w:cstheme="minorHAnsi"/>
          <w:kern w:val="0"/>
          <w:lang w:eastAsia="pl-PL"/>
          <w14:ligatures w14:val="none"/>
        </w:rPr>
        <w:t>ą, 7 letnią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gwarancj</w:t>
      </w:r>
      <w:r>
        <w:rPr>
          <w:rFonts w:eastAsia="Times New Roman" w:cstheme="minorHAnsi"/>
          <w:kern w:val="0"/>
          <w:lang w:eastAsia="pl-PL"/>
          <w14:ligatures w14:val="none"/>
        </w:rPr>
        <w:t>ę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na </w:t>
      </w:r>
      <w:r w:rsidR="009F3BF4">
        <w:rPr>
          <w:rFonts w:eastAsia="Times New Roman" w:cstheme="minorHAnsi"/>
          <w:kern w:val="0"/>
          <w:lang w:eastAsia="pl-PL"/>
          <w14:ligatures w14:val="none"/>
        </w:rPr>
        <w:t xml:space="preserve">ponad 200 </w:t>
      </w:r>
      <w:proofErr w:type="spellStart"/>
      <w:r w:rsidR="009F3BF4">
        <w:rPr>
          <w:rFonts w:eastAsia="Times New Roman" w:cstheme="minorHAnsi"/>
          <w:kern w:val="0"/>
          <w:lang w:eastAsia="pl-PL"/>
          <w14:ligatures w14:val="none"/>
        </w:rPr>
        <w:t>opraw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>LED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proofErr w:type="spellStart"/>
      <w:r>
        <w:rPr>
          <w:rFonts w:eastAsia="Times New Roman" w:cstheme="minorHAnsi"/>
          <w:kern w:val="0"/>
          <w:lang w:eastAsia="pl-PL"/>
          <w14:ligatures w14:val="none"/>
        </w:rPr>
        <w:t>l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>ine</w:t>
      </w:r>
      <w:proofErr w:type="spellEnd"/>
      <w:r>
        <w:rPr>
          <w:rFonts w:eastAsia="Times New Roman" w:cstheme="minorHAnsi"/>
          <w:kern w:val="0"/>
          <w:lang w:eastAsia="pl-PL"/>
          <w14:ligatures w14:val="none"/>
        </w:rPr>
        <w:t xml:space="preserve">, </w:t>
      </w:r>
      <w:r w:rsidR="00210E10">
        <w:rPr>
          <w:rFonts w:eastAsia="Times New Roman" w:cstheme="minorHAnsi"/>
          <w:kern w:val="0"/>
          <w:lang w:eastAsia="pl-PL"/>
          <w14:ligatures w14:val="none"/>
        </w:rPr>
        <w:t>a</w:t>
      </w:r>
      <w:r>
        <w:rPr>
          <w:rFonts w:eastAsia="Times New Roman" w:cstheme="minorHAnsi"/>
          <w:kern w:val="0"/>
          <w:lang w:eastAsia="pl-PL"/>
          <w14:ligatures w14:val="none"/>
        </w:rPr>
        <w:t>by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podkreśl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ić 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>ich trwałość</w:t>
      </w:r>
      <w:r w:rsidR="00210E10">
        <w:rPr>
          <w:rFonts w:eastAsia="Times New Roman" w:cstheme="minorHAnsi"/>
          <w:kern w:val="0"/>
          <w:lang w:eastAsia="pl-PL"/>
          <w14:ligatures w14:val="none"/>
        </w:rPr>
        <w:t xml:space="preserve"> i niezawodność</w:t>
      </w:r>
      <w:r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>
        <w:rPr>
          <w:rFonts w:eastAsia="Times New Roman" w:cstheme="minorHAnsi"/>
          <w:kern w:val="0"/>
          <w:lang w:eastAsia="pl-PL"/>
          <w14:ligatures w14:val="none"/>
        </w:rPr>
        <w:t>I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>nwestor i zarządca m</w:t>
      </w:r>
      <w:r>
        <w:rPr>
          <w:rFonts w:eastAsia="Times New Roman" w:cstheme="minorHAnsi"/>
          <w:kern w:val="0"/>
          <w:lang w:eastAsia="pl-PL"/>
          <w14:ligatures w14:val="none"/>
        </w:rPr>
        <w:t>ogą mieć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pewność, że oświetlenie będzie działać bezawaryjnie przez długi okres. Dzięki temu można planować budżet konserwacyjny na wiele lat do przodu, co istotnie zmniejsza koszty utrzymania” – </w:t>
      </w:r>
      <w:r w:rsidR="00E24494" w:rsidRPr="009F3BF4">
        <w:rPr>
          <w:rFonts w:eastAsia="Times New Roman" w:cstheme="minorHAnsi"/>
          <w:kern w:val="0"/>
          <w:lang w:eastAsia="pl-PL"/>
          <w14:ligatures w14:val="none"/>
        </w:rPr>
        <w:t xml:space="preserve">mówi </w:t>
      </w:r>
      <w:r w:rsidR="005C2F5A" w:rsidRPr="009F3BF4">
        <w:rPr>
          <w:rFonts w:eastAsia="Times New Roman" w:cstheme="minorHAnsi"/>
          <w:kern w:val="0"/>
          <w:lang w:eastAsia="pl-PL"/>
          <w14:ligatures w14:val="none"/>
        </w:rPr>
        <w:t xml:space="preserve">Przemysław Kowalczyk, CEO LEDIN </w:t>
      </w:r>
      <w:proofErr w:type="spellStart"/>
      <w:r w:rsidR="005C2F5A" w:rsidRPr="009F3BF4">
        <w:rPr>
          <w:rFonts w:eastAsia="Times New Roman" w:cstheme="minorHAnsi"/>
          <w:kern w:val="0"/>
          <w:lang w:eastAsia="pl-PL"/>
          <w14:ligatures w14:val="none"/>
        </w:rPr>
        <w:t>Group</w:t>
      </w:r>
      <w:proofErr w:type="spellEnd"/>
      <w:r w:rsidR="005C2F5A" w:rsidRPr="009F3BF4">
        <w:rPr>
          <w:rFonts w:eastAsia="Times New Roman" w:cstheme="minorHAnsi"/>
          <w:kern w:val="0"/>
          <w:lang w:eastAsia="pl-PL"/>
          <w14:ligatures w14:val="none"/>
        </w:rPr>
        <w:t xml:space="preserve"> Sp. z o.o.</w:t>
      </w:r>
    </w:p>
    <w:p w14:paraId="1A3B54EC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W praktyce oznacza to, że zarządca może ograniczyć liczbę interwencji serwisowych do minimum, a także zredukować ryzyko niespodziewanych kosztów.</w:t>
      </w:r>
    </w:p>
    <w:p w14:paraId="7135AB63" w14:textId="77777777" w:rsidR="00E24494" w:rsidRPr="00E24494" w:rsidRDefault="00E24494" w:rsidP="003966BD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24494">
        <w:rPr>
          <w:rFonts w:asciiTheme="minorHAnsi" w:hAnsiTheme="minorHAnsi" w:cstheme="minorHAnsi"/>
          <w:sz w:val="24"/>
          <w:szCs w:val="24"/>
        </w:rPr>
        <w:t>Inteligentne systemy sterowania</w:t>
      </w:r>
    </w:p>
    <w:p w14:paraId="32FCE402" w14:textId="3A6E3F36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Drugim filarem minimalizacji kosztów jest automatyzacja. Współczesne systemy sterowania oświetleniem, takie jak DALI czy </w:t>
      </w:r>
      <w:r w:rsidR="00D16DB2">
        <w:rPr>
          <w:rFonts w:eastAsia="Times New Roman" w:cstheme="minorHAnsi"/>
          <w:kern w:val="0"/>
          <w:lang w:eastAsia="pl-PL"/>
          <w14:ligatures w14:val="none"/>
        </w:rPr>
        <w:t>0/1-10V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, umożliwiają integrację opraw z czujnikami ruchu, obecności czy natężenia światła dziennego. Dzięki temu lampy świecą tylko wtedy, gdy jest 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lastRenderedPageBreak/>
        <w:t>to faktycznie potrzebne</w:t>
      </w:r>
      <w:r w:rsidR="00213435">
        <w:rPr>
          <w:rFonts w:eastAsia="Times New Roman" w:cstheme="minorHAnsi"/>
          <w:kern w:val="0"/>
          <w:lang w:eastAsia="pl-PL"/>
          <w14:ligatures w14:val="none"/>
        </w:rPr>
        <w:t xml:space="preserve"> i z taką intensywnością jaka gwarantuje właściw</w:t>
      </w:r>
      <w:r w:rsidR="00792DAE">
        <w:rPr>
          <w:rFonts w:eastAsia="Times New Roman" w:cstheme="minorHAnsi"/>
          <w:kern w:val="0"/>
          <w:lang w:eastAsia="pl-PL"/>
          <w14:ligatures w14:val="none"/>
        </w:rPr>
        <w:t xml:space="preserve">y poziom natężenia </w:t>
      </w:r>
      <w:proofErr w:type="spellStart"/>
      <w:r w:rsidR="00792DAE">
        <w:rPr>
          <w:rFonts w:eastAsia="Times New Roman" w:cstheme="minorHAnsi"/>
          <w:kern w:val="0"/>
          <w:lang w:eastAsia="pl-PL"/>
          <w14:ligatures w14:val="none"/>
        </w:rPr>
        <w:t>wiatła</w:t>
      </w:r>
      <w:proofErr w:type="spellEnd"/>
      <w:r w:rsidR="00792DAE">
        <w:rPr>
          <w:rFonts w:eastAsia="Times New Roman" w:cstheme="minorHAnsi"/>
          <w:kern w:val="0"/>
          <w:lang w:eastAsia="pl-PL"/>
          <w14:ligatures w14:val="none"/>
        </w:rPr>
        <w:t>.</w:t>
      </w:r>
    </w:p>
    <w:p w14:paraId="2AC401E9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Przykład: w garażu podziemnym o powierzchni 5000 m² zastosowanie czujników obecności pozwala zredukować czas świecenia opraw nawet o 70%, co przekłada się na kilkudziesięcioprocentowe oszczędności energii.</w:t>
      </w:r>
    </w:p>
    <w:p w14:paraId="3C8A11AD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Dodatkowo, integracja z systemem BMS pozwala nie tylko sterować pracą oświetlenia, ale też monitorować stan instalacji i przewidywać ewentualne usterki. Zarządca otrzymuje powiadomienie o spadku wydajności konkretnej oprawy i może zaplanować jej wymianę w dogodnym terminie, zamiast reagować na awarię w trybie awaryjnym.</w:t>
      </w:r>
    </w:p>
    <w:p w14:paraId="17D4DF02" w14:textId="77777777" w:rsidR="00E24494" w:rsidRPr="00E24494" w:rsidRDefault="00E24494" w:rsidP="003966BD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24494">
        <w:rPr>
          <w:rFonts w:asciiTheme="minorHAnsi" w:hAnsiTheme="minorHAnsi" w:cstheme="minorHAnsi"/>
          <w:sz w:val="24"/>
          <w:szCs w:val="24"/>
        </w:rPr>
        <w:t>Konstrukcja opraw i modularność rozwiązań</w:t>
      </w:r>
    </w:p>
    <w:p w14:paraId="5C7C1C4D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Wydłużenie żywotności opraw zależy także od jakości ich konstrukcji. Kluczowe znaczenie ma klasa szczelności (IP), odporność na czynniki zewnętrzne oraz system odprowadzania ciepła. Przegrzewanie LED-ów jest jedną z głównych przyczyn ich awarii, dlatego odpowiednia konstrukcja termiczna to podstawa.</w:t>
      </w:r>
    </w:p>
    <w:p w14:paraId="2056A83E" w14:textId="4E75C956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Coraz częściej producenci oferują również oprawy o budowie modularnej. W przypadku awarii nie trzeba wymieniać całej lampy, wystarczy zastąpić uszkodzony moduł. To nie tylko niższe koszty</w:t>
      </w:r>
      <w:r w:rsidR="000F4FED">
        <w:rPr>
          <w:rFonts w:eastAsia="Times New Roman" w:cstheme="minorHAnsi"/>
          <w:kern w:val="0"/>
          <w:lang w:eastAsia="pl-PL"/>
          <w14:ligatures w14:val="none"/>
        </w:rPr>
        <w:t xml:space="preserve"> eksploatacji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, ale też mniejszy </w:t>
      </w:r>
      <w:r w:rsidR="000F4FED">
        <w:rPr>
          <w:rFonts w:eastAsia="Times New Roman" w:cstheme="minorHAnsi"/>
          <w:kern w:val="0"/>
          <w:lang w:eastAsia="pl-PL"/>
          <w14:ligatures w14:val="none"/>
        </w:rPr>
        <w:t>ślad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 xml:space="preserve"> środowisko</w:t>
      </w:r>
      <w:r w:rsidR="000F4FED">
        <w:rPr>
          <w:rFonts w:eastAsia="Times New Roman" w:cstheme="minorHAnsi"/>
          <w:kern w:val="0"/>
          <w:lang w:eastAsia="pl-PL"/>
          <w14:ligatures w14:val="none"/>
        </w:rPr>
        <w:t>wy</w:t>
      </w:r>
      <w:r w:rsidRPr="00E24494">
        <w:rPr>
          <w:rFonts w:eastAsia="Times New Roman" w:cstheme="minorHAnsi"/>
          <w:kern w:val="0"/>
          <w:lang w:eastAsia="pl-PL"/>
          <w14:ligatures w14:val="none"/>
        </w:rPr>
        <w:t>, co ma znaczenie w kontekście wymagań ESG.</w:t>
      </w:r>
    </w:p>
    <w:p w14:paraId="37810613" w14:textId="77777777" w:rsidR="00E24494" w:rsidRPr="00E24494" w:rsidRDefault="00E24494" w:rsidP="003966BD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E24494">
        <w:rPr>
          <w:rFonts w:asciiTheme="minorHAnsi" w:hAnsiTheme="minorHAnsi" w:cstheme="minorHAnsi"/>
          <w:sz w:val="24"/>
          <w:szCs w:val="24"/>
        </w:rPr>
        <w:t>Gwarancja jako element strategii finansowej</w:t>
      </w:r>
    </w:p>
    <w:p w14:paraId="6BD2DF8A" w14:textId="77777777" w:rsidR="00E24494" w:rsidRP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Deweloperzy i zarządcy coraz częściej przywiązują wagę do warunków gwarancji. Wydłużony, siedmioletni okres ochrony, jaki oferuje część producentów, to w praktyce narzędzie finansowe.</w:t>
      </w:r>
    </w:p>
    <w:p w14:paraId="2DAEA9CE" w14:textId="27580879" w:rsidR="00620744" w:rsidRPr="00E24494" w:rsidRDefault="00231F52" w:rsidP="009F3BF4">
      <w:pPr>
        <w:spacing w:beforeAutospacing="1" w:afterAutospacing="1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kern w:val="0"/>
          <w:lang w:eastAsia="pl-PL"/>
          <w14:ligatures w14:val="none"/>
        </w:rPr>
        <w:t xml:space="preserve">– 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Długoterminowa gwarancja to nie tylko deklaracja producenta. To element strategii finansowej inwestora, bo eliminuje ryzyko niespodziewanych wydatków serwisowych. W dłuższej perspektywie taka gwarancja obniża TCO inwestycji i zwiększa jej przewidywalność – </w:t>
      </w:r>
      <w:r>
        <w:rPr>
          <w:rFonts w:eastAsia="Times New Roman" w:cstheme="minorHAnsi"/>
          <w:kern w:val="0"/>
          <w:lang w:eastAsia="pl-PL"/>
          <w14:ligatures w14:val="none"/>
        </w:rPr>
        <w:t>konkluduje</w:t>
      </w:r>
      <w:r w:rsidR="00E24494" w:rsidRPr="00E24494">
        <w:rPr>
          <w:rFonts w:eastAsia="Times New Roman" w:cstheme="minorHAnsi"/>
          <w:kern w:val="0"/>
          <w:lang w:eastAsia="pl-PL"/>
          <w14:ligatures w14:val="none"/>
        </w:rPr>
        <w:t xml:space="preserve"> </w:t>
      </w:r>
      <w:r w:rsidR="009F3BF4" w:rsidRPr="009F3BF4">
        <w:rPr>
          <w:rFonts w:eastAsia="Times New Roman" w:cstheme="minorHAnsi"/>
          <w:kern w:val="0"/>
          <w:lang w:eastAsia="pl-PL"/>
          <w14:ligatures w14:val="none"/>
        </w:rPr>
        <w:t xml:space="preserve">Michał Wójcicki, Dyrektor Handlowy w LED </w:t>
      </w:r>
      <w:proofErr w:type="spellStart"/>
      <w:r w:rsidR="009F3BF4" w:rsidRPr="009F3BF4">
        <w:rPr>
          <w:rFonts w:eastAsia="Times New Roman" w:cstheme="minorHAnsi"/>
          <w:kern w:val="0"/>
          <w:lang w:eastAsia="pl-PL"/>
          <w14:ligatures w14:val="none"/>
        </w:rPr>
        <w:t>line</w:t>
      </w:r>
      <w:proofErr w:type="spellEnd"/>
      <w:r w:rsidR="009F3BF4">
        <w:rPr>
          <w:rFonts w:eastAsia="Times New Roman" w:cstheme="minorHAnsi"/>
          <w:kern w:val="0"/>
          <w:lang w:eastAsia="pl-PL"/>
          <w14:ligatures w14:val="none"/>
        </w:rPr>
        <w:t xml:space="preserve">. </w:t>
      </w:r>
      <w:r w:rsidR="00620744" w:rsidRPr="00E24494">
        <w:rPr>
          <w:rFonts w:eastAsia="Times New Roman" w:cstheme="minorHAnsi"/>
          <w:kern w:val="0"/>
          <w:lang w:eastAsia="pl-PL"/>
          <w14:ligatures w14:val="none"/>
        </w:rPr>
        <w:t>TCO obejmuje nie tylko cenę zakupu opraw, ale również koszty ich eksploatacji, serwisowania, wymiany oraz ewentualnych strat wynikających z awarii i przestojów. W halach magazynowych czy biurowcach wymiana jednej oprawy może wiązać się z koniecznością wynajmu podnośnika i zaangażowania dodatkowych pracowników, co istotnie podnosi koszty.</w:t>
      </w:r>
    </w:p>
    <w:p w14:paraId="20B50C12" w14:textId="4172EB5B" w:rsidR="00E24494" w:rsidRPr="00E24494" w:rsidRDefault="00231F52" w:rsidP="00E24494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Oświetlenie widziane w szerszej perspektywie</w:t>
      </w:r>
    </w:p>
    <w:p w14:paraId="5C9CC5E9" w14:textId="77777777" w:rsidR="00E24494" w:rsidRDefault="00E24494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E24494">
        <w:rPr>
          <w:rFonts w:eastAsia="Times New Roman" w:cstheme="minorHAnsi"/>
          <w:kern w:val="0"/>
          <w:lang w:eastAsia="pl-PL"/>
          <w14:ligatures w14:val="none"/>
        </w:rPr>
        <w:t>Minimalizacja kosztów utrzymania oświetlenia to proces wieloetapowy. Kluczowe znaczenie mają: wybór technologii LED, automatyzacja i inteligentne sterowanie, odpowiednia konstrukcja opraw oraz korzystne warunki gwarancji. Dzięki tym elementom deweloperzy i zarządcy nieruchomości mogą realnie obniżyć koszty operacyjne i zapewnić sobie spokój finansowy w perspektywie wielu lat.</w:t>
      </w:r>
    </w:p>
    <w:p w14:paraId="7D321E96" w14:textId="79BF6323" w:rsidR="00755ACD" w:rsidRPr="00E24494" w:rsidRDefault="00755ACD" w:rsidP="00E24494">
      <w:pPr>
        <w:spacing w:before="100" w:beforeAutospacing="1" w:after="100" w:afterAutospacing="1"/>
        <w:rPr>
          <w:rFonts w:eastAsia="Times New Roman" w:cstheme="minorHAnsi"/>
          <w:kern w:val="0"/>
          <w:lang w:eastAsia="pl-PL"/>
          <w14:ligatures w14:val="none"/>
        </w:rPr>
      </w:pPr>
      <w:r w:rsidRPr="00755ACD">
        <w:rPr>
          <w:rFonts w:eastAsia="Times New Roman" w:cstheme="minorHAnsi"/>
          <w:kern w:val="0"/>
          <w:lang w:eastAsia="pl-PL"/>
          <w14:ligatures w14:val="none"/>
        </w:rPr>
        <w:lastRenderedPageBreak/>
        <w:t xml:space="preserve">Oświetlenie w inwestycjach komercyjnych przestaje być kosztem – staje się inwestycją w długowieczność budynku. Dlatego w LED </w:t>
      </w:r>
      <w:proofErr w:type="spellStart"/>
      <w:r w:rsidRPr="00755ACD">
        <w:rPr>
          <w:rFonts w:eastAsia="Times New Roman" w:cstheme="minorHAnsi"/>
          <w:kern w:val="0"/>
          <w:lang w:eastAsia="pl-PL"/>
          <w14:ligatures w14:val="none"/>
        </w:rPr>
        <w:t>line</w:t>
      </w:r>
      <w:proofErr w:type="spellEnd"/>
      <w:r w:rsidRPr="00755ACD">
        <w:rPr>
          <w:rFonts w:eastAsia="Times New Roman" w:cstheme="minorHAnsi"/>
          <w:kern w:val="0"/>
          <w:lang w:eastAsia="pl-PL"/>
          <w14:ligatures w14:val="none"/>
        </w:rPr>
        <w:t xml:space="preserve"> koncentrujemy się na rozwiązaniach, które pozwalają projektować nie na lata, ale na dekady.</w:t>
      </w:r>
    </w:p>
    <w:p w14:paraId="05615E67" w14:textId="77777777" w:rsidR="00AB5E4D" w:rsidRPr="00620744" w:rsidRDefault="00AB5E4D">
      <w:pPr>
        <w:rPr>
          <w:rFonts w:cstheme="minorHAnsi"/>
        </w:rPr>
      </w:pPr>
    </w:p>
    <w:sectPr w:rsidR="00AB5E4D" w:rsidRPr="0062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494"/>
    <w:rsid w:val="00081DBD"/>
    <w:rsid w:val="000F4FED"/>
    <w:rsid w:val="00210E10"/>
    <w:rsid w:val="00213435"/>
    <w:rsid w:val="00231F52"/>
    <w:rsid w:val="00282DE6"/>
    <w:rsid w:val="0028706E"/>
    <w:rsid w:val="003966BD"/>
    <w:rsid w:val="003B4AF2"/>
    <w:rsid w:val="003F5A55"/>
    <w:rsid w:val="005C2F5A"/>
    <w:rsid w:val="00620744"/>
    <w:rsid w:val="00755ACD"/>
    <w:rsid w:val="00792DAE"/>
    <w:rsid w:val="007B2B90"/>
    <w:rsid w:val="00840F82"/>
    <w:rsid w:val="009F3BF4"/>
    <w:rsid w:val="00A97B68"/>
    <w:rsid w:val="00AB5E4D"/>
    <w:rsid w:val="00CB5CD3"/>
    <w:rsid w:val="00D03B87"/>
    <w:rsid w:val="00D1132F"/>
    <w:rsid w:val="00D16DB2"/>
    <w:rsid w:val="00E24494"/>
    <w:rsid w:val="00E8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0A98E"/>
  <w15:chartTrackingRefBased/>
  <w15:docId w15:val="{2E22F769-EA0F-5146-AE10-66351D70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07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E2449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E24494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24494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E24494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E244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6207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07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07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074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870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3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3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59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4716</Characters>
  <Application>Microsoft Office Word</Application>
  <DocSecurity>0</DocSecurity>
  <Lines>39</Lines>
  <Paragraphs>10</Paragraphs>
  <ScaleCrop>false</ScaleCrop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16</cp:revision>
  <dcterms:created xsi:type="dcterms:W3CDTF">2025-10-09T18:44:00Z</dcterms:created>
  <dcterms:modified xsi:type="dcterms:W3CDTF">2025-10-10T06:46:00Z</dcterms:modified>
</cp:coreProperties>
</file>