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C602C" w14:textId="77777777" w:rsidR="008466E7" w:rsidRPr="00CC01A1" w:rsidRDefault="00000000" w:rsidP="00CC01A1">
      <w:pPr>
        <w:pStyle w:val="Nagwek1"/>
        <w:jc w:val="both"/>
      </w:pPr>
      <w:bookmarkStart w:id="0" w:name="header"/>
      <w:bookmarkStart w:id="1" w:name="X96b60be42e9b268094c886bf837423a5dccdc00"/>
      <w:bookmarkStart w:id="2" w:name="content"/>
      <w:bookmarkEnd w:id="0"/>
      <w:r w:rsidRPr="00CC01A1">
        <w:t>Jak poprawić efektywność energetyczną zakładów produkcyjnych?</w:t>
      </w:r>
    </w:p>
    <w:p w14:paraId="76E252DF" w14:textId="77777777" w:rsidR="008466E7" w:rsidRPr="00CC01A1" w:rsidRDefault="00000000" w:rsidP="00CC01A1">
      <w:pPr>
        <w:pStyle w:val="FirstParagraph"/>
        <w:jc w:val="both"/>
      </w:pPr>
      <w:r w:rsidRPr="00CC01A1">
        <w:t>Zakłady przemysłowe i hale produkcyjne stoją dziś przed presją rosnących cen energii oraz zaostrzonymi wymaganiami klimatycznymi. W 202</w:t>
      </w:r>
      <w:r w:rsidR="00BC0B21" w:rsidRPr="00CC01A1">
        <w:t>6</w:t>
      </w:r>
      <w:r w:rsidRPr="00CC01A1">
        <w:t xml:space="preserve"> r. modernizacja oświetlenia na energooszczędne systemy LED stała się priorytetem wielu firm. Inwestorzy wymieniają zużyte świetlówki i lampy sodowe na nowoczesne oprawy LED, co natychmiast przekłada się na niższe rachunki i wyższy komfort pracy. Efektywność energetyczna przestaje być modnym hasłem, a staje się kluczowym argumentem ekonomicznym i środowiskowym w podejmowaniu decyzji przez deweloperów, właścicieli hal i facility managerów.</w:t>
      </w:r>
    </w:p>
    <w:p w14:paraId="63921B83" w14:textId="77777777" w:rsidR="008466E7" w:rsidRPr="00CC01A1" w:rsidRDefault="00000000" w:rsidP="00CC01A1">
      <w:pPr>
        <w:pStyle w:val="Nagwek2"/>
        <w:jc w:val="both"/>
      </w:pPr>
      <w:bookmarkStart w:id="3" w:name="wymiana-tradycyjnych-opraw-na-led"/>
      <w:r w:rsidRPr="00CC01A1">
        <w:t>Wymiana tradycyjnych opraw na LED</w:t>
      </w:r>
    </w:p>
    <w:p w14:paraId="7B9B0F8F" w14:textId="721748AA" w:rsidR="00CE4A5E" w:rsidRPr="00CC01A1" w:rsidRDefault="00000000" w:rsidP="00CC01A1">
      <w:pPr>
        <w:pStyle w:val="FirstParagraph"/>
        <w:jc w:val="both"/>
      </w:pPr>
      <w:r w:rsidRPr="00CC01A1">
        <w:t xml:space="preserve">Technologia LED </w:t>
      </w:r>
      <w:r w:rsidR="00BC0B21" w:rsidRPr="00CC01A1">
        <w:t>z</w:t>
      </w:r>
      <w:r w:rsidRPr="00CC01A1">
        <w:t>rewolucjoniz</w:t>
      </w:r>
      <w:r w:rsidR="00BC0B21" w:rsidRPr="00CC01A1">
        <w:t>owała</w:t>
      </w:r>
      <w:r w:rsidRPr="00CC01A1">
        <w:t xml:space="preserve"> oświetlenie</w:t>
      </w:r>
      <w:r w:rsidR="00BC0B21" w:rsidRPr="00CC01A1">
        <w:t xml:space="preserve"> – także</w:t>
      </w:r>
      <w:r w:rsidRPr="00CC01A1">
        <w:t xml:space="preserve"> przemysłowe. Oprawy LED zużywają nawet o 50–80% mniej energii niż tradycyjne lampy przy porównywalnej jasności. Dzięki temu rosnąca część przetwarzanej mocy przekształca się w światło, a nie w ciepło, co bezpośrednio przekłada się na niższe rachunki za prąd i znaczne oszczędności w skali roku. Diody LED cechuje też dłuższa żywotność (często 30–100 tys. godz., wobec 10–15 tys. godz. w świetlówkach). </w:t>
      </w:r>
      <w:r w:rsidR="00CC01A1">
        <w:t xml:space="preserve"> - </w:t>
      </w:r>
      <w:r w:rsidRPr="00CC01A1">
        <w:rPr>
          <w:i/>
          <w:iCs/>
        </w:rPr>
        <w:t>Modernizując oświetlenie na technologię LED, możemy oszczędzić większość energii przy jednoczesnym podwyższeniu komfortu świetlnego na stanowiskach pracy. W praktyce inwestycja w LED zwraca się w ciągu kilku lat, a często już po kilkunastu miesiącach. Przy okazji zyskujemy bardziej stabilną instalację oświetleniową z mniejszą liczbą awarii, co podnosi niezawodność procesów w całym zakładzie.</w:t>
      </w:r>
      <w:r w:rsidRPr="00CC01A1">
        <w:t xml:space="preserve"> – </w:t>
      </w:r>
      <w:r w:rsidR="00535C89" w:rsidRPr="00CC01A1">
        <w:t xml:space="preserve">podkreśla </w:t>
      </w:r>
      <w:r w:rsidRPr="00CC01A1">
        <w:t>Przemysław Kowalczyk, CEO LED Line</w:t>
      </w:r>
      <w:r w:rsidR="00535C89" w:rsidRPr="00CC01A1">
        <w:t>.</w:t>
      </w:r>
      <w:r w:rsidR="00CE4A5E" w:rsidRPr="00CC01A1">
        <w:t xml:space="preserve"> </w:t>
      </w:r>
    </w:p>
    <w:p w14:paraId="06B0C847" w14:textId="77777777" w:rsidR="00CE4A5E" w:rsidRPr="00CC01A1" w:rsidRDefault="00BC0B21" w:rsidP="00CC01A1">
      <w:pPr>
        <w:pStyle w:val="Tekstpodstawowy"/>
        <w:jc w:val="both"/>
      </w:pPr>
      <w:r w:rsidRPr="00CC01A1">
        <w:t xml:space="preserve">Rzadsze wymiany źródeł światła obniżają koszty serwisu i remontów, zwłaszcza w trudno dostępnych miejscach wysokich hal produkcyjnych. </w:t>
      </w:r>
      <w:r w:rsidR="00535C89" w:rsidRPr="00CC01A1">
        <w:t>Z kolei brak migotania i w</w:t>
      </w:r>
      <w:r w:rsidRPr="00CC01A1">
        <w:t>ysoki współczynnik oddawania barw (CRI) poprawiają jakość oświetlenia – kolory są wierniej odwzorowane, co ma znaczenie przy kontroli jakości i wpływa pozytywnie na samopoczucie pracowników.</w:t>
      </w:r>
      <w:r w:rsidR="00CE4A5E" w:rsidRPr="00CC01A1">
        <w:t xml:space="preserve"> </w:t>
      </w:r>
    </w:p>
    <w:p w14:paraId="68B9ABAA" w14:textId="538AE9ED" w:rsidR="00CE4A5E" w:rsidRPr="00CC01A1" w:rsidRDefault="00CE4A5E" w:rsidP="00CC01A1">
      <w:pPr>
        <w:pStyle w:val="Tekstpodstawowy"/>
        <w:jc w:val="both"/>
      </w:pPr>
      <w:r w:rsidRPr="00CC01A1">
        <w:t>Analizując TCO (całkowity koszt posiadania) w zakładach produkcyjnych, nie można pominąć wpływu warunków środowiskowych na żywotność instalacji.</w:t>
      </w:r>
      <w:r w:rsidR="00CC01A1">
        <w:t xml:space="preserve"> - </w:t>
      </w:r>
      <w:r w:rsidRPr="00CC01A1">
        <w:rPr>
          <w:i/>
          <w:iCs/>
        </w:rPr>
        <w:t>Inwestorzy szukają rozwiązań, które są odporne na zapylenie czy wilgoć, a jednocześnie oferują najwyższą efektywność energetyczną. Odpowiedzią na te potrzeby są modele takie jak Phantom 70W z systemem DALI</w:t>
      </w:r>
      <w:r w:rsidR="008D11B2" w:rsidRPr="00CC01A1">
        <w:rPr>
          <w:i/>
          <w:iCs/>
        </w:rPr>
        <w:t xml:space="preserve"> i IP65</w:t>
      </w:r>
      <w:r w:rsidRPr="00CC01A1">
        <w:rPr>
          <w:i/>
          <w:iCs/>
        </w:rPr>
        <w:t>. To rozwiązanie, które sprawdza się w trudnym środowisku przemysłowym, pozwalając jednocześnie na znaczącą redukcję zużycia energii – nie tylko dzięki samej technologii LED, ale przede wszystkim poprzez precyzyjne zarządzanie strumieniem świetlnym w czasie rzeczywistym.</w:t>
      </w:r>
      <w:r w:rsidRPr="00CC01A1">
        <w:t xml:space="preserve"> – dodaje CEO LED Line. </w:t>
      </w:r>
    </w:p>
    <w:p w14:paraId="35FB7FEF" w14:textId="77777777" w:rsidR="00CE4A5E" w:rsidRPr="00CC01A1" w:rsidRDefault="00CE4A5E" w:rsidP="00CC01A1">
      <w:pPr>
        <w:pStyle w:val="Tekstpodstawowy"/>
        <w:jc w:val="both"/>
      </w:pPr>
    </w:p>
    <w:p w14:paraId="0C67D23D" w14:textId="77777777" w:rsidR="008466E7" w:rsidRPr="00CC01A1" w:rsidRDefault="00000000" w:rsidP="00CC01A1">
      <w:pPr>
        <w:pStyle w:val="Nagwek2"/>
        <w:jc w:val="both"/>
      </w:pPr>
      <w:bookmarkStart w:id="4" w:name="inteligentne-sterowanie-oświetleniem"/>
      <w:bookmarkEnd w:id="3"/>
      <w:r w:rsidRPr="00CC01A1">
        <w:lastRenderedPageBreak/>
        <w:t>Inteligentne sterowanie oświetleniem</w:t>
      </w:r>
    </w:p>
    <w:p w14:paraId="712E2C49" w14:textId="2518B5AC" w:rsidR="008466E7" w:rsidRPr="00CC01A1" w:rsidRDefault="00000000" w:rsidP="00CC01A1">
      <w:pPr>
        <w:pStyle w:val="FirstParagraph"/>
        <w:jc w:val="both"/>
      </w:pPr>
      <w:r w:rsidRPr="00CC01A1">
        <w:t xml:space="preserve">Wymiana na LED to tylko początek oszczędności. Prawdziwą rewolucją jest </w:t>
      </w:r>
      <w:r w:rsidRPr="00CC01A1">
        <w:rPr>
          <w:b/>
          <w:bCs/>
        </w:rPr>
        <w:t>inteligentne sterowanie</w:t>
      </w:r>
      <w:r w:rsidRPr="00CC01A1">
        <w:t xml:space="preserve"> oświetleniem. Nowoczesne systemy (np. oparte na protokole DALI, KNX czy połączeniach bezprzewodowych) pozwalają na zindywidualizowane zarządzanie każdą oprawą lub grupą opraw. </w:t>
      </w:r>
      <w:r w:rsidR="00CC01A1">
        <w:t xml:space="preserve">- </w:t>
      </w:r>
      <w:r w:rsidR="00535C89" w:rsidRPr="00CC01A1">
        <w:rPr>
          <w:i/>
          <w:iCs/>
        </w:rPr>
        <w:t>Warto podkreślić, że sama wymiana na LED nie wykorzystuje pełnego potencjału efektywności. Prawdziwą korzyścią jest połączenie ich z systemami sterowania. Dzięki czujnikom i scenariuszom świetlnym światło dociera tylko tam, gdzie jest potrzebne, a jego natężenie dostosowuje się automatycznie do zmieniających się warunków i harmonogramu pracy. Taki inteligentny system oświetlenia to dodatkowe oszczędności i jeszcze lepsze narzędzie do realizacji celów ESG.</w:t>
      </w:r>
      <w:r w:rsidR="00535C89" w:rsidRPr="00CC01A1">
        <w:t xml:space="preserve"> – zauważa Przemysław Kowalczyk.</w:t>
      </w:r>
      <w:r w:rsidR="00CC01A1">
        <w:t xml:space="preserve"> </w:t>
      </w:r>
      <w:r w:rsidRPr="00CC01A1">
        <w:t xml:space="preserve">Protokół DALI umożliwia </w:t>
      </w:r>
      <w:r w:rsidRPr="00CC01A1">
        <w:rPr>
          <w:b/>
          <w:bCs/>
        </w:rPr>
        <w:t>precyzyjne dostosowanie poziomu oświetlenia</w:t>
      </w:r>
      <w:r w:rsidRPr="00CC01A1">
        <w:t xml:space="preserve"> do konkretnych obszarów hali, zapewniając optymalne warunki pracy i bezpieczeństwo. W praktyce można zaprogramować automatyczne ściemnianie w miejscach z wystarczającym światłem dziennym, czy wygaszać światło na przejściach bez pracowników. Takie inteligentne sterowanie przekłada się na </w:t>
      </w:r>
      <w:r w:rsidRPr="00CC01A1">
        <w:rPr>
          <w:b/>
          <w:bCs/>
        </w:rPr>
        <w:t>znaczne dodatkowe oszczędności energii</w:t>
      </w:r>
      <w:r w:rsidRPr="00CC01A1">
        <w:t>. Dodatkowo systemy zarządzania oświetleniem integrują się z centralnymi platformami BMS, co umożliwia monitorowanie parametrów pracy opraw (np. wykrywanie usterek) oraz zdalną analizę zużycia.</w:t>
      </w:r>
    </w:p>
    <w:p w14:paraId="1365EE00" w14:textId="77777777" w:rsidR="008466E7" w:rsidRPr="00CC01A1" w:rsidRDefault="00000000" w:rsidP="00CC01A1">
      <w:pPr>
        <w:pStyle w:val="Nagwek2"/>
        <w:jc w:val="both"/>
      </w:pPr>
      <w:bookmarkStart w:id="5" w:name="korzyści-finansowe-operacyjne-esg"/>
      <w:bookmarkEnd w:id="4"/>
      <w:r w:rsidRPr="00CC01A1">
        <w:t>Korzyści finansowe, operacyjne, ESG</w:t>
      </w:r>
    </w:p>
    <w:p w14:paraId="486824AE" w14:textId="77777777" w:rsidR="008466E7" w:rsidRPr="00CC01A1" w:rsidRDefault="00000000" w:rsidP="00CC01A1">
      <w:pPr>
        <w:pStyle w:val="FirstParagraph"/>
        <w:jc w:val="both"/>
      </w:pPr>
      <w:r w:rsidRPr="00CC01A1">
        <w:t xml:space="preserve">Oszczędności energii są najbardziej wymierną korzyścią: niższe rachunki potrafią zmniejszyć koszty oświetlenia w zakładach o dziesiątki procent. Krótki czas zwrotu inwestycji (ROI) – często 1–3 lata – dodatkowo motywuje firmy do modernizacji. Co więcej, niższe zużycie prądu oznacza automatycznie </w:t>
      </w:r>
      <w:r w:rsidRPr="00CC01A1">
        <w:rPr>
          <w:b/>
          <w:bCs/>
        </w:rPr>
        <w:t>mniejsze emisje CO</w:t>
      </w:r>
      <w:r w:rsidRPr="00CC01A1">
        <w:rPr>
          <w:b/>
          <w:bCs/>
          <w:vertAlign w:val="subscript"/>
        </w:rPr>
        <w:t>2</w:t>
      </w:r>
      <w:r w:rsidRPr="00CC01A1">
        <w:t xml:space="preserve"> – w Polsce oszczędność 1 kWh to redukcja ok. 0,7 kg CO₂. W skali zakładu przemysłowego przekłada się to na realny wpływ na cel redukcji śladu węglowego.</w:t>
      </w:r>
    </w:p>
    <w:p w14:paraId="5E540744" w14:textId="77777777" w:rsidR="008466E7" w:rsidRPr="00CC01A1" w:rsidRDefault="00000000" w:rsidP="00CC01A1">
      <w:pPr>
        <w:pStyle w:val="Tekstpodstawowy"/>
        <w:jc w:val="both"/>
      </w:pPr>
      <w:r w:rsidRPr="00CC01A1">
        <w:t>Modernizacja wpisuje się także w</w:t>
      </w:r>
      <w:r w:rsidRPr="00CC01A1">
        <w:rPr>
          <w:b/>
          <w:bCs/>
        </w:rPr>
        <w:t xml:space="preserve"> cele</w:t>
      </w:r>
      <w:r w:rsidRPr="00CC01A1">
        <w:t xml:space="preserve"> </w:t>
      </w:r>
      <w:r w:rsidRPr="00CC01A1">
        <w:rPr>
          <w:b/>
          <w:bCs/>
        </w:rPr>
        <w:t>ESG i wizerunkowe</w:t>
      </w:r>
      <w:r w:rsidRPr="00CC01A1">
        <w:t xml:space="preserve"> przedsiębiorstwa. </w:t>
      </w:r>
      <w:r w:rsidR="00535C89" w:rsidRPr="00CC01A1">
        <w:t>Świadomość znaczenia energooszczędnego oświetlenia systematycznie rośnie, a LED-y stały się dziś rynkowym standardem w nowych inwestycjach komercyjnych i przemysłowych</w:t>
      </w:r>
      <w:r w:rsidRPr="00CC01A1">
        <w:t>. Firmy inwestujące w ekologiczne rozwiązania mogą liczyć na lepszy rating środowiskowy i łatwiejszy dostęp do finansowania „zielonych” projektów. Wymiana starych lamp (np. zawierających rtęć) pomaga też spełnić nowe wymogi unijnych regulacji (np. Dyrektywy EPBD dotyczącej efektywności energetycznej budynków).</w:t>
      </w:r>
    </w:p>
    <w:p w14:paraId="58A7B6A9" w14:textId="77777777" w:rsidR="008466E7" w:rsidRPr="00CC01A1" w:rsidRDefault="00000000" w:rsidP="00CC01A1">
      <w:pPr>
        <w:pStyle w:val="Nagwek2"/>
        <w:jc w:val="both"/>
      </w:pPr>
      <w:bookmarkStart w:id="6" w:name="dofinansowania-i-zwrot-z-inwestycji"/>
      <w:bookmarkEnd w:id="5"/>
      <w:r w:rsidRPr="00CC01A1">
        <w:t>Dofinansowania i zwrot z inwestycji</w:t>
      </w:r>
    </w:p>
    <w:p w14:paraId="35174E02" w14:textId="77777777" w:rsidR="008466E7" w:rsidRPr="00CC01A1" w:rsidRDefault="00000000" w:rsidP="00CC01A1">
      <w:pPr>
        <w:pStyle w:val="FirstParagraph"/>
        <w:jc w:val="both"/>
      </w:pPr>
      <w:r w:rsidRPr="00CC01A1">
        <w:t xml:space="preserve">Na modernizację oświetlenia LED można pozyskać znaczące środki zewnętrzne, co skraca okres zwrotu inwestycji. Największe programy przewidują </w:t>
      </w:r>
      <w:r w:rsidRPr="00CC01A1">
        <w:rPr>
          <w:b/>
          <w:bCs/>
        </w:rPr>
        <w:t>finansowanie do 80%</w:t>
      </w:r>
      <w:r w:rsidRPr="00CC01A1">
        <w:t xml:space="preserve"> kosztów projektu (maksymalnie ~299 tys. zł). Przykładowo, w programach NFOŚiGW i funduszy unijnych zakłady mogą otrzymać nawet kilkaset tysięcy zł dotacji na wymianę oświetlenia</w:t>
      </w:r>
      <w:r w:rsidR="00535C89" w:rsidRPr="00CC01A1">
        <w:rPr>
          <w:rStyle w:val="Odwoanieprzypisudolnego"/>
        </w:rPr>
        <w:footnoteReference w:id="1"/>
      </w:r>
      <w:r w:rsidRPr="00CC01A1">
        <w:t xml:space="preserve">. </w:t>
      </w:r>
      <w:r w:rsidRPr="00CC01A1">
        <w:lastRenderedPageBreak/>
        <w:t xml:space="preserve">Dodatkowo funkcjonują programy prewencji wypadkowej (ZUS), w ramach których dofinansowanie na oświetlenie stanowisk pracy może sięgać do ok. </w:t>
      </w:r>
      <w:r w:rsidRPr="00CC01A1">
        <w:rPr>
          <w:b/>
          <w:bCs/>
        </w:rPr>
        <w:t>60 tys. zł</w:t>
      </w:r>
      <w:r w:rsidRPr="00CC01A1">
        <w:t xml:space="preserve">. Swoją role odgrywają też </w:t>
      </w:r>
      <w:r w:rsidRPr="00CC01A1">
        <w:rPr>
          <w:b/>
          <w:bCs/>
        </w:rPr>
        <w:t>„białe certyfikaty”</w:t>
      </w:r>
      <w:r w:rsidRPr="00CC01A1">
        <w:t xml:space="preserve"> – bezzwrotne dopłaty w wysokości 5–30% wartości inwestycji w efektywność energetyczną.</w:t>
      </w:r>
    </w:p>
    <w:p w14:paraId="5A1869AF" w14:textId="77777777" w:rsidR="008466E7" w:rsidRPr="00CC01A1" w:rsidRDefault="00000000" w:rsidP="00CC01A1">
      <w:pPr>
        <w:pStyle w:val="Tekstpodstawowy"/>
        <w:jc w:val="both"/>
      </w:pPr>
      <w:r w:rsidRPr="00CC01A1">
        <w:t>W praktyce uwzględnienie dofinansowania w kalkulacji znacząco przyspiesza zwrot środków</w:t>
      </w:r>
      <w:r w:rsidR="006E3DCB" w:rsidRPr="00CC01A1">
        <w:t xml:space="preserve">. </w:t>
      </w:r>
      <w:r w:rsidRPr="00CC01A1">
        <w:t>Analizy finansowe pokazują, że większość inwestycji w LED + sterowanie zwraca się szybciej niż alternatywne przedsięwzięcia CAPEX. Dzięki temu kierownictwo zakładów może realizować strategię niskiego TCO (całkowity koszt posiadania) instalacji oświetleniowej, a nie tylko patrzeć na cenę zakupu opraw.</w:t>
      </w:r>
    </w:p>
    <w:p w14:paraId="759B38EF" w14:textId="77777777" w:rsidR="008466E7" w:rsidRPr="00CC01A1" w:rsidRDefault="00000000" w:rsidP="00CC01A1">
      <w:pPr>
        <w:pStyle w:val="Nagwek2"/>
        <w:jc w:val="both"/>
      </w:pPr>
      <w:bookmarkStart w:id="7" w:name="inne-działania-podnoszące-efektywność"/>
      <w:bookmarkEnd w:id="6"/>
      <w:r w:rsidRPr="00CC01A1">
        <w:t>Inne działania podnoszące efektywność</w:t>
      </w:r>
      <w:r w:rsidR="006E3DCB" w:rsidRPr="00CC01A1">
        <w:t xml:space="preserve"> energetyczną</w:t>
      </w:r>
    </w:p>
    <w:p w14:paraId="5EE42B46" w14:textId="77777777" w:rsidR="008466E7" w:rsidRPr="00CC01A1" w:rsidRDefault="00000000" w:rsidP="00CC01A1">
      <w:pPr>
        <w:pStyle w:val="FirstParagraph"/>
        <w:jc w:val="both"/>
      </w:pPr>
      <w:r w:rsidRPr="00CC01A1">
        <w:t>Warto pamiętać, że oświetlenie to kluczowy, ale nie jedyny obszar modernizacji. Do innych istotnych działań należą:</w:t>
      </w:r>
      <w:r w:rsidRPr="00CC01A1">
        <w:br/>
        <w:t xml:space="preserve">- </w:t>
      </w:r>
      <w:r w:rsidRPr="00CC01A1">
        <w:rPr>
          <w:b/>
          <w:bCs/>
        </w:rPr>
        <w:t>Modernizacja systemów HVAC i grzewczych</w:t>
      </w:r>
      <w:r w:rsidRPr="00CC01A1">
        <w:t xml:space="preserve"> – wymiana starych kotłów na wysokosprawne pompy ciepła lub kotły kondensacyjne, wdrożenie rekuperacji ciepła i efektywniejszych wentylatorów. Połączenie modernizacji oświetlenia z usprawnioną klimatyzacją/ogrzewaniem może obniżyć całkowite koszty energii nawet o 30–40%.</w:t>
      </w:r>
      <w:r w:rsidRPr="00CC01A1">
        <w:br/>
        <w:t xml:space="preserve">- </w:t>
      </w:r>
      <w:r w:rsidRPr="00CC01A1">
        <w:rPr>
          <w:b/>
          <w:bCs/>
        </w:rPr>
        <w:t>Systemy zarządzania budynkiem (BMS)</w:t>
      </w:r>
      <w:r w:rsidRPr="00CC01A1">
        <w:t xml:space="preserve"> – zaawansowane platformy integrujące oświetlenie, ogrzewanie i wentylację. BMS pozwala nadzorować pracę wszystkich instalacji w czasie rzeczywistym, automatycznie dostosowując je do bieżących potrzeb produkcyjnych i warunków zewnętrznych.</w:t>
      </w:r>
      <w:r w:rsidRPr="00CC01A1">
        <w:br/>
        <w:t xml:space="preserve">- </w:t>
      </w:r>
      <w:r w:rsidRPr="00CC01A1">
        <w:rPr>
          <w:b/>
          <w:bCs/>
        </w:rPr>
        <w:t>Automatyzacja procesów przemysłowych</w:t>
      </w:r>
      <w:r w:rsidRPr="00CC01A1">
        <w:t xml:space="preserve"> – modernizacja linii produkcyjnych (np. wydajniejsze silniki, napędy, odzysk ciepła z procesów) oraz sterowanie produkcją zgodnie z rzeczywistym zapotrzebowaniem.</w:t>
      </w:r>
      <w:r w:rsidRPr="00CC01A1">
        <w:br/>
        <w:t xml:space="preserve">- </w:t>
      </w:r>
      <w:r w:rsidRPr="00CC01A1">
        <w:rPr>
          <w:b/>
          <w:bCs/>
        </w:rPr>
        <w:t>Odnawialne źródła energii</w:t>
      </w:r>
      <w:r w:rsidRPr="00CC01A1">
        <w:t xml:space="preserve"> – montaż paneli fotowoltaicznych lub turbin wiatrowych na terenie zakładu może pokryć część zapotrzebowania energetycznego (najlepiej wykorzystujących nocne stany czuwania lub przerwy technologiczne).</w:t>
      </w:r>
    </w:p>
    <w:p w14:paraId="725CFF68" w14:textId="77777777" w:rsidR="008466E7" w:rsidRPr="00CC01A1" w:rsidRDefault="00000000" w:rsidP="00CC01A1">
      <w:pPr>
        <w:pStyle w:val="Tekstpodstawowy"/>
        <w:jc w:val="both"/>
      </w:pPr>
      <w:r w:rsidRPr="00CC01A1">
        <w:t>Choć nie rozwijamy tu szczegółowo tych obszarów, łącz</w:t>
      </w:r>
      <w:r w:rsidR="00A719BC" w:rsidRPr="00CC01A1">
        <w:t>o</w:t>
      </w:r>
      <w:r w:rsidRPr="00CC01A1">
        <w:t>na strategia energetyczna</w:t>
      </w:r>
      <w:r w:rsidR="00A719BC" w:rsidRPr="00CC01A1">
        <w:t>,</w:t>
      </w:r>
      <w:r w:rsidRPr="00CC01A1">
        <w:t xml:space="preserve"> uwzględniająca zarówno </w:t>
      </w:r>
      <w:r w:rsidRPr="00CC01A1">
        <w:rPr>
          <w:b/>
          <w:bCs/>
        </w:rPr>
        <w:t>oświetlenie LED z inteligentnym sterowaniem</w:t>
      </w:r>
      <w:r w:rsidRPr="00CC01A1">
        <w:t xml:space="preserve">, jak i pozostałe usprawnienia, </w:t>
      </w:r>
      <w:r w:rsidR="00A719BC" w:rsidRPr="00CC01A1">
        <w:t>pozwala</w:t>
      </w:r>
      <w:r w:rsidRPr="00CC01A1">
        <w:t xml:space="preserve"> zakładom </w:t>
      </w:r>
      <w:r w:rsidR="00A719BC" w:rsidRPr="00CC01A1">
        <w:t xml:space="preserve">uzyskać </w:t>
      </w:r>
      <w:r w:rsidRPr="00CC01A1">
        <w:t>optymalne efekty.</w:t>
      </w:r>
    </w:p>
    <w:p w14:paraId="74BF36F5" w14:textId="024B89B0" w:rsidR="006E3DCB" w:rsidRPr="00CC01A1" w:rsidRDefault="006E3DCB" w:rsidP="00CC01A1">
      <w:pPr>
        <w:pStyle w:val="Nagwek2"/>
        <w:jc w:val="both"/>
      </w:pPr>
      <w:r w:rsidRPr="00CC01A1">
        <w:t xml:space="preserve">Priorytet zakładów produkcyjnych </w:t>
      </w:r>
    </w:p>
    <w:p w14:paraId="66AC50B5" w14:textId="77777777" w:rsidR="008466E7" w:rsidRDefault="00000000" w:rsidP="00CC01A1">
      <w:pPr>
        <w:pStyle w:val="Tekstpodstawowy"/>
        <w:jc w:val="both"/>
      </w:pPr>
      <w:r w:rsidRPr="00CC01A1">
        <w:t>Podsumowując, wymiana tradycyjnego oświetlenia na LED z inteligentnym systemem sterowania jest dzisiaj najszybszym i najbardziej opłacalnym sposobem na obniżenie kosztów energii w zakładach produkcyjnych. Tego typu modernizacja przynosi wielowymiarowe korzyści – od natychmiastowych oszczędności w kosztach operacyjnych, przez poprawę bezpieczeństwa i komfortu pracy, aż po pozytywny wpływ na cele ESG. Dla deweloperów, zarządców nieruchomości i właścicieli hal przemysłowych inwestycja w efektywne oświetlenie to więc absolutny priorytet w 2026 roku.</w:t>
      </w:r>
    </w:p>
    <w:p w14:paraId="7BA12BC2" w14:textId="77777777" w:rsidR="008466E7" w:rsidRDefault="008466E7" w:rsidP="00CC01A1">
      <w:pPr>
        <w:jc w:val="both"/>
      </w:pPr>
      <w:bookmarkStart w:id="8" w:name="citations"/>
      <w:bookmarkEnd w:id="1"/>
      <w:bookmarkEnd w:id="2"/>
      <w:bookmarkEnd w:id="7"/>
      <w:bookmarkEnd w:id="8"/>
    </w:p>
    <w:sectPr w:rsidR="008466E7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652EA" w14:textId="77777777" w:rsidR="00E77569" w:rsidRDefault="00E77569" w:rsidP="00535C89">
      <w:pPr>
        <w:spacing w:after="0"/>
      </w:pPr>
      <w:r>
        <w:separator/>
      </w:r>
    </w:p>
  </w:endnote>
  <w:endnote w:type="continuationSeparator" w:id="0">
    <w:p w14:paraId="45160F83" w14:textId="77777777" w:rsidR="00E77569" w:rsidRDefault="00E77569" w:rsidP="00535C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C0468" w14:textId="77777777" w:rsidR="00E77569" w:rsidRDefault="00E77569" w:rsidP="00535C89">
      <w:pPr>
        <w:spacing w:after="0"/>
      </w:pPr>
      <w:r>
        <w:separator/>
      </w:r>
    </w:p>
  </w:footnote>
  <w:footnote w:type="continuationSeparator" w:id="0">
    <w:p w14:paraId="61C07192" w14:textId="77777777" w:rsidR="00E77569" w:rsidRDefault="00E77569" w:rsidP="00535C89">
      <w:pPr>
        <w:spacing w:after="0"/>
      </w:pPr>
      <w:r>
        <w:continuationSeparator/>
      </w:r>
    </w:p>
  </w:footnote>
  <w:footnote w:id="1">
    <w:p w14:paraId="2F0C7004" w14:textId="77777777" w:rsidR="00535C89" w:rsidRPr="00535C89" w:rsidRDefault="00535C8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35C89">
        <w:t>https://nowedotacjeunijne.eu/programy-2021-2027/feniks/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60424346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EE480760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7514F2C"/>
    <w:multiLevelType w:val="hybridMultilevel"/>
    <w:tmpl w:val="9446E4F4"/>
    <w:lvl w:ilvl="0" w:tplc="9EBC0DC4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420554">
    <w:abstractNumId w:val="0"/>
  </w:num>
  <w:num w:numId="2" w16cid:durableId="572393872">
    <w:abstractNumId w:val="1"/>
  </w:num>
  <w:num w:numId="3" w16cid:durableId="1387877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6E7"/>
    <w:rsid w:val="003A5749"/>
    <w:rsid w:val="004F3C1B"/>
    <w:rsid w:val="00535C89"/>
    <w:rsid w:val="006E3DCB"/>
    <w:rsid w:val="008466E7"/>
    <w:rsid w:val="008D11B2"/>
    <w:rsid w:val="009B1D40"/>
    <w:rsid w:val="00A719BC"/>
    <w:rsid w:val="00BC0B21"/>
    <w:rsid w:val="00BE2805"/>
    <w:rsid w:val="00C642A1"/>
    <w:rsid w:val="00C7684C"/>
    <w:rsid w:val="00CC01A1"/>
    <w:rsid w:val="00CE4A5E"/>
    <w:rsid w:val="00E7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55BF2"/>
  <w15:docId w15:val="{75253909-9D54-874A-B180-005B716E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character" w:customStyle="1" w:styleId="Nagwek1Znak">
    <w:name w:val="Nagłówek 1 Znak"/>
    <w:basedOn w:val="Domylnaczcionkaakapitu"/>
    <w:link w:val="Nagwek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Znak"/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156082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9C468A-2A97-FB43-94F6-720948BE6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1060</Words>
  <Characters>7028</Characters>
  <Application>Microsoft Office Word</Application>
  <DocSecurity>0</DocSecurity>
  <Lines>111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Szruba</dc:creator>
  <cp:keywords/>
  <cp:lastModifiedBy>Anna Goławska</cp:lastModifiedBy>
  <cp:revision>15</cp:revision>
  <dcterms:created xsi:type="dcterms:W3CDTF">2026-01-14T10:22:00Z</dcterms:created>
  <dcterms:modified xsi:type="dcterms:W3CDTF">2026-01-28T10:26:00Z</dcterms:modified>
  <dc:language>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ChatGPT Deep Research</vt:lpwstr>
  </property>
</Properties>
</file>