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752BFB" w:rsidRPr="00860C84" w:rsidRDefault="00000000" w:rsidP="00A030F3">
      <w:pPr>
        <w:pStyle w:val="Nagwek1"/>
        <w:spacing w:before="0" w:line="360" w:lineRule="auto"/>
        <w:jc w:val="both"/>
        <w:rPr>
          <w:rFonts w:ascii="Lato" w:hAnsi="Lato"/>
          <w:b/>
          <w:sz w:val="28"/>
          <w:szCs w:val="28"/>
        </w:rPr>
      </w:pPr>
      <w:r w:rsidRPr="00860C84">
        <w:rPr>
          <w:rFonts w:ascii="Lato" w:hAnsi="Lato"/>
          <w:b/>
          <w:sz w:val="28"/>
          <w:szCs w:val="28"/>
        </w:rPr>
        <w:t xml:space="preserve">Które konkursy dotacyjne w 2024 roku powinny szczególnie zainteresować firmy z sektora </w:t>
      </w:r>
      <w:proofErr w:type="spellStart"/>
      <w:r w:rsidRPr="00860C84">
        <w:rPr>
          <w:rFonts w:ascii="Lato" w:hAnsi="Lato"/>
          <w:b/>
          <w:sz w:val="28"/>
          <w:szCs w:val="28"/>
        </w:rPr>
        <w:t>deep-tech</w:t>
      </w:r>
      <w:proofErr w:type="spellEnd"/>
      <w:r w:rsidRPr="00860C84">
        <w:rPr>
          <w:rFonts w:ascii="Lato" w:hAnsi="Lato"/>
          <w:b/>
          <w:sz w:val="28"/>
          <w:szCs w:val="28"/>
        </w:rPr>
        <w:t>?</w:t>
      </w:r>
    </w:p>
    <w:p w14:paraId="00000002" w14:textId="77777777" w:rsidR="00752BFB" w:rsidRPr="00860C84" w:rsidRDefault="00752BFB" w:rsidP="00A030F3">
      <w:pPr>
        <w:spacing w:after="0" w:line="360" w:lineRule="auto"/>
        <w:jc w:val="both"/>
        <w:rPr>
          <w:rFonts w:ascii="Lato" w:eastAsia="Quattrocento Sans" w:hAnsi="Lato" w:cs="Quattrocento Sans"/>
          <w:color w:val="374151"/>
        </w:rPr>
      </w:pPr>
    </w:p>
    <w:p w14:paraId="00000003" w14:textId="77777777" w:rsidR="00752BFB" w:rsidRPr="00860C84" w:rsidRDefault="00000000" w:rsidP="00A030F3">
      <w:pPr>
        <w:spacing w:after="0" w:line="360" w:lineRule="auto"/>
        <w:jc w:val="both"/>
        <w:rPr>
          <w:rFonts w:ascii="Lato" w:hAnsi="Lato"/>
          <w:color w:val="212529"/>
        </w:rPr>
      </w:pPr>
      <w:r w:rsidRPr="00860C84">
        <w:rPr>
          <w:rFonts w:ascii="Lato" w:hAnsi="Lato"/>
          <w:color w:val="212529"/>
        </w:rPr>
        <w:t xml:space="preserve">Nowy rok przynosi kolejne szanse dla polskich </w:t>
      </w:r>
      <w:proofErr w:type="spellStart"/>
      <w:r w:rsidRPr="00860C84">
        <w:rPr>
          <w:rFonts w:ascii="Lato" w:hAnsi="Lato"/>
          <w:color w:val="212529"/>
        </w:rPr>
        <w:t>deep-techów</w:t>
      </w:r>
      <w:proofErr w:type="spellEnd"/>
      <w:r w:rsidRPr="00860C84">
        <w:rPr>
          <w:rFonts w:ascii="Lato" w:hAnsi="Lato"/>
          <w:color w:val="212529"/>
        </w:rPr>
        <w:t xml:space="preserve">, szukających finansowania swoich innowacyjnych projektów. Na szczególną uwagę wśród polskich programów zasługuje ścieżka SMART, będąca głównym instrumentem dotacyjnym w ramach Programu Fundusze Europejskie dla Nowoczesnej Gospodarki (FENG) na lata 2021-2027. Z kolei na scenie europejskiej, warte uwagi są programy w ramach </w:t>
      </w:r>
      <w:proofErr w:type="spellStart"/>
      <w:r w:rsidRPr="00860C84">
        <w:rPr>
          <w:rFonts w:ascii="Lato" w:hAnsi="Lato"/>
          <w:color w:val="212529"/>
        </w:rPr>
        <w:t>European</w:t>
      </w:r>
      <w:proofErr w:type="spellEnd"/>
      <w:r w:rsidRPr="00860C84">
        <w:rPr>
          <w:rFonts w:ascii="Lato" w:hAnsi="Lato"/>
          <w:color w:val="212529"/>
        </w:rPr>
        <w:t xml:space="preserve"> </w:t>
      </w:r>
      <w:proofErr w:type="spellStart"/>
      <w:r w:rsidRPr="00860C84">
        <w:rPr>
          <w:rFonts w:ascii="Lato" w:hAnsi="Lato"/>
          <w:color w:val="212529"/>
        </w:rPr>
        <w:t>Innovation</w:t>
      </w:r>
      <w:proofErr w:type="spellEnd"/>
      <w:r w:rsidRPr="00860C84">
        <w:rPr>
          <w:rFonts w:ascii="Lato" w:hAnsi="Lato"/>
          <w:color w:val="212529"/>
        </w:rPr>
        <w:t xml:space="preserve"> </w:t>
      </w:r>
      <w:proofErr w:type="spellStart"/>
      <w:r w:rsidRPr="00860C84">
        <w:rPr>
          <w:rFonts w:ascii="Lato" w:hAnsi="Lato"/>
          <w:color w:val="212529"/>
        </w:rPr>
        <w:t>Council</w:t>
      </w:r>
      <w:proofErr w:type="spellEnd"/>
      <w:r w:rsidRPr="00860C84">
        <w:rPr>
          <w:rFonts w:ascii="Lato" w:hAnsi="Lato"/>
          <w:color w:val="212529"/>
        </w:rPr>
        <w:t xml:space="preserve"> (EIC)</w:t>
      </w:r>
      <w:r w:rsidRPr="00860C84">
        <w:rPr>
          <w:rFonts w:ascii="Lato" w:hAnsi="Lato"/>
          <w:color w:val="212529"/>
          <w:sz w:val="20"/>
          <w:szCs w:val="20"/>
        </w:rPr>
        <w:t xml:space="preserve">. </w:t>
      </w:r>
      <w:r w:rsidRPr="00860C84">
        <w:rPr>
          <w:rFonts w:ascii="Lato" w:hAnsi="Lato"/>
          <w:color w:val="212529"/>
        </w:rPr>
        <w:t>Dowiedz się, jakie są wymagania i kryteria selekcji, ile można uzyskać środków oraz kiedy dokładnie zaczynają się poszczególne nabory.</w:t>
      </w:r>
    </w:p>
    <w:p w14:paraId="6D0CEA5D" w14:textId="77777777" w:rsidR="00A030F3" w:rsidRPr="00860C84" w:rsidRDefault="00A030F3" w:rsidP="00A030F3">
      <w:pPr>
        <w:spacing w:after="0" w:line="360" w:lineRule="auto"/>
        <w:jc w:val="both"/>
        <w:rPr>
          <w:rFonts w:ascii="Lato" w:hAnsi="Lato"/>
          <w:color w:val="212529"/>
        </w:rPr>
      </w:pPr>
    </w:p>
    <w:p w14:paraId="00000004" w14:textId="77777777" w:rsidR="00752BFB" w:rsidRPr="00860C84" w:rsidRDefault="00000000" w:rsidP="00A030F3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  <w:b/>
        </w:rPr>
      </w:pPr>
      <w:r w:rsidRPr="00860C84">
        <w:rPr>
          <w:rFonts w:ascii="Lato" w:hAnsi="Lato"/>
          <w:b/>
        </w:rPr>
        <w:t xml:space="preserve">4 nabory wniosków w ścieżce SMART </w:t>
      </w:r>
    </w:p>
    <w:p w14:paraId="00000005" w14:textId="77777777" w:rsidR="00752BFB" w:rsidRPr="00860C84" w:rsidRDefault="00000000" w:rsidP="00A030F3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  <w:color w:val="374151"/>
          <w:sz w:val="22"/>
          <w:szCs w:val="22"/>
        </w:rPr>
      </w:pPr>
      <w:r w:rsidRPr="00860C84">
        <w:rPr>
          <w:rFonts w:ascii="Lato" w:hAnsi="Lato"/>
          <w:color w:val="374151"/>
          <w:sz w:val="22"/>
          <w:szCs w:val="22"/>
        </w:rPr>
        <w:t xml:space="preserve">Konkursy w ramach FENG to jedna z atrakcyjniejszych propozycji dotacyjnych na sfinansowanie projektów R&amp;D. Charakteryzują się wysoką intensywnością wsparcia, a maksymalna wartość projektu to aż 35 mln euro. W 2024 roku przewidziane są jeszcze 4 nabory, poza trwającym już konkursem dla konsorcjów. </w:t>
      </w:r>
    </w:p>
    <w:p w14:paraId="2A203657" w14:textId="77777777" w:rsidR="00A030F3" w:rsidRPr="00860C84" w:rsidRDefault="00A030F3" w:rsidP="00A030F3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  <w:color w:val="374151"/>
          <w:sz w:val="22"/>
          <w:szCs w:val="22"/>
        </w:rPr>
      </w:pPr>
    </w:p>
    <w:p w14:paraId="00000006" w14:textId="77777777" w:rsidR="00752BFB" w:rsidRPr="00860C84" w:rsidRDefault="00000000" w:rsidP="00A030F3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  <w:color w:val="374151"/>
          <w:sz w:val="22"/>
          <w:szCs w:val="22"/>
        </w:rPr>
      </w:pPr>
      <w:r w:rsidRPr="00860C84">
        <w:rPr>
          <w:rFonts w:ascii="Lato" w:hAnsi="Lato"/>
          <w:color w:val="374151"/>
          <w:sz w:val="22"/>
          <w:szCs w:val="22"/>
        </w:rPr>
        <w:t xml:space="preserve">Pierwszym z planowanych naborów będzie konkurs dla MŚP aplikujących samodzielnie. PARP przewidział budżet w wysokości 2 112 000 000 zł. Wnioski o dofinansowanie będzie można składać od 27.06.2024 r. do 24.10.2024 r. Osobny nabór dla MŚP dedykowany jest projektom na rzecz dostępności. W tym przypadku budżet konkursu wynosi 222 000 000 zł. Wnioski można składać również od 27.06.2024 r. do 24.10.2024 r. </w:t>
      </w:r>
    </w:p>
    <w:p w14:paraId="603DE31F" w14:textId="77777777" w:rsidR="00A030F3" w:rsidRPr="00860C84" w:rsidRDefault="00A030F3" w:rsidP="00A030F3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  <w:color w:val="374151"/>
          <w:sz w:val="22"/>
          <w:szCs w:val="22"/>
        </w:rPr>
      </w:pPr>
    </w:p>
    <w:p w14:paraId="00000007" w14:textId="77777777" w:rsidR="00752BFB" w:rsidRPr="00860C84" w:rsidRDefault="00000000" w:rsidP="00A030F3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  <w:color w:val="374151"/>
          <w:sz w:val="22"/>
          <w:szCs w:val="22"/>
        </w:rPr>
      </w:pPr>
      <w:r w:rsidRPr="00860C84">
        <w:rPr>
          <w:rFonts w:ascii="Lato" w:hAnsi="Lato"/>
          <w:color w:val="374151"/>
          <w:sz w:val="22"/>
          <w:szCs w:val="22"/>
        </w:rPr>
        <w:t xml:space="preserve">W tym samym czasie odbędą się także 2 konkursy skierowane do przedsiębiorstw innych niż MŚP (duże przedsiębiorstwa) – tak jak w przypadku MŚP jeden ogólny i jeden dotyczący projektów na rzecz dostępności. Dla tych pierwszych przewidziano alokację w wysokości 890 000 000 zł, w drugim do dyspozycji będzie 445 000 000 zł. </w:t>
      </w:r>
    </w:p>
    <w:p w14:paraId="3386024A" w14:textId="77777777" w:rsidR="00A030F3" w:rsidRPr="00860C84" w:rsidRDefault="00A030F3" w:rsidP="00A030F3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  <w:color w:val="374151"/>
          <w:sz w:val="22"/>
          <w:szCs w:val="22"/>
        </w:rPr>
      </w:pPr>
    </w:p>
    <w:p w14:paraId="00000008" w14:textId="77777777" w:rsidR="00752BFB" w:rsidRPr="00860C84" w:rsidRDefault="00000000" w:rsidP="00A030F3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  <w:color w:val="374151"/>
          <w:sz w:val="22"/>
          <w:szCs w:val="22"/>
        </w:rPr>
      </w:pPr>
      <w:r w:rsidRPr="00860C84">
        <w:rPr>
          <w:rFonts w:ascii="Lato" w:hAnsi="Lato"/>
          <w:color w:val="374151"/>
          <w:sz w:val="22"/>
          <w:szCs w:val="22"/>
        </w:rPr>
        <w:t xml:space="preserve">– </w:t>
      </w:r>
      <w:r w:rsidRPr="00860C84">
        <w:rPr>
          <w:rFonts w:ascii="Lato" w:hAnsi="Lato"/>
          <w:i/>
          <w:color w:val="374151"/>
          <w:sz w:val="22"/>
          <w:szCs w:val="22"/>
        </w:rPr>
        <w:t>Ścieżka SMART w 2023 roku cieszyła się bardzo dużym zainteresowaniem. Wartość wnioskowanego dofinansowania przekroczyła kilkukrotnie dostępne w konkursach budżety. W naborach zaplanowanych na 2024 rok również należy się spodziewać wysokiej konkurencyjności, co oznacza, że aby mieć szansę na pozyskanie środków, wnioski muszą być na bardzo wysokim poziomie</w:t>
      </w:r>
      <w:r w:rsidRPr="00860C84">
        <w:rPr>
          <w:rFonts w:ascii="Lato" w:hAnsi="Lato"/>
          <w:color w:val="374151"/>
          <w:sz w:val="22"/>
          <w:szCs w:val="22"/>
        </w:rPr>
        <w:t xml:space="preserve"> </w:t>
      </w:r>
      <w:r w:rsidRPr="00860C84">
        <w:rPr>
          <w:rFonts w:ascii="Lato" w:hAnsi="Lato"/>
          <w:color w:val="374151"/>
          <w:sz w:val="22"/>
          <w:szCs w:val="22"/>
        </w:rPr>
        <w:lastRenderedPageBreak/>
        <w:t xml:space="preserve">– wyjaśnia Szymon </w:t>
      </w:r>
      <w:proofErr w:type="spellStart"/>
      <w:r w:rsidRPr="00860C84">
        <w:rPr>
          <w:rFonts w:ascii="Lato" w:hAnsi="Lato"/>
          <w:color w:val="374151"/>
          <w:sz w:val="22"/>
          <w:szCs w:val="22"/>
        </w:rPr>
        <w:t>Łokaj</w:t>
      </w:r>
      <w:proofErr w:type="spellEnd"/>
      <w:r w:rsidRPr="00860C84">
        <w:rPr>
          <w:rFonts w:ascii="Lato" w:hAnsi="Lato"/>
          <w:color w:val="374151"/>
          <w:sz w:val="22"/>
          <w:szCs w:val="22"/>
        </w:rPr>
        <w:t xml:space="preserve">, Partner w Innology, firmie która wspiera podmioty działające w obszarze B+R, w tym spółki </w:t>
      </w:r>
      <w:proofErr w:type="spellStart"/>
      <w:r w:rsidRPr="00860C84">
        <w:rPr>
          <w:rFonts w:ascii="Lato" w:hAnsi="Lato"/>
          <w:color w:val="374151"/>
          <w:sz w:val="22"/>
          <w:szCs w:val="22"/>
        </w:rPr>
        <w:t>deep-tech</w:t>
      </w:r>
      <w:proofErr w:type="spellEnd"/>
      <w:r w:rsidRPr="00860C84">
        <w:rPr>
          <w:rFonts w:ascii="Lato" w:hAnsi="Lato"/>
          <w:color w:val="374151"/>
          <w:sz w:val="22"/>
          <w:szCs w:val="22"/>
        </w:rPr>
        <w:t xml:space="preserve">, w aplikowaniu o fundusze unijne na badania, rozwój i innowacje – </w:t>
      </w:r>
      <w:r w:rsidRPr="00860C84">
        <w:rPr>
          <w:rFonts w:ascii="Lato" w:hAnsi="Lato"/>
          <w:i/>
          <w:color w:val="374151"/>
          <w:sz w:val="22"/>
          <w:szCs w:val="22"/>
        </w:rPr>
        <w:t>W przypadku modułu B+R, o sukcesie decydować będzie, jak w konkursach w 2023 roku, spełnienie kryteriów obligatoryjnych i modułowych</w:t>
      </w:r>
      <w:r w:rsidRPr="00860C84">
        <w:rPr>
          <w:rFonts w:ascii="Lato" w:hAnsi="Lato"/>
          <w:color w:val="374151"/>
          <w:sz w:val="22"/>
          <w:szCs w:val="22"/>
        </w:rPr>
        <w:t xml:space="preserve"> – precyzuje. </w:t>
      </w:r>
    </w:p>
    <w:p w14:paraId="1545D241" w14:textId="77777777" w:rsidR="00A030F3" w:rsidRPr="00860C84" w:rsidRDefault="00A030F3" w:rsidP="00A030F3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  <w:color w:val="374151"/>
          <w:sz w:val="22"/>
          <w:szCs w:val="22"/>
        </w:rPr>
      </w:pPr>
    </w:p>
    <w:p w14:paraId="00000009" w14:textId="77777777" w:rsidR="00752BFB" w:rsidRPr="00860C84" w:rsidRDefault="00000000" w:rsidP="00A030F3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  <w:b/>
          <w:color w:val="212529"/>
        </w:rPr>
      </w:pPr>
      <w:r w:rsidRPr="00860C84">
        <w:rPr>
          <w:rFonts w:ascii="Lato" w:hAnsi="Lato"/>
          <w:b/>
        </w:rPr>
        <w:t>Co oprócz ścieżki SMART?</w:t>
      </w:r>
    </w:p>
    <w:p w14:paraId="0000000A" w14:textId="347F73D2" w:rsidR="00752BFB" w:rsidRPr="00860C84" w:rsidRDefault="00000000" w:rsidP="00A030F3">
      <w:pPr>
        <w:spacing w:after="0" w:line="360" w:lineRule="auto"/>
        <w:jc w:val="both"/>
        <w:rPr>
          <w:rFonts w:ascii="Lato" w:hAnsi="Lato"/>
          <w:color w:val="212529"/>
        </w:rPr>
      </w:pPr>
      <w:r w:rsidRPr="00860C84">
        <w:rPr>
          <w:rFonts w:ascii="Lato" w:hAnsi="Lato"/>
          <w:color w:val="212529"/>
        </w:rPr>
        <w:t xml:space="preserve">Poza programami krajowymi, polskie firmy, w szczególności z sektora </w:t>
      </w:r>
      <w:proofErr w:type="spellStart"/>
      <w:r w:rsidRPr="00860C84">
        <w:rPr>
          <w:rFonts w:ascii="Lato" w:hAnsi="Lato"/>
          <w:color w:val="212529"/>
        </w:rPr>
        <w:t>deep-tech</w:t>
      </w:r>
      <w:proofErr w:type="spellEnd"/>
      <w:r w:rsidRPr="00860C84">
        <w:rPr>
          <w:rFonts w:ascii="Lato" w:hAnsi="Lato"/>
          <w:color w:val="212529"/>
        </w:rPr>
        <w:t xml:space="preserve">, mogą aplikować o granty w </w:t>
      </w:r>
      <w:proofErr w:type="spellStart"/>
      <w:r w:rsidRPr="00860C84">
        <w:rPr>
          <w:rFonts w:ascii="Lato" w:hAnsi="Lato"/>
          <w:color w:val="212529"/>
        </w:rPr>
        <w:t>European</w:t>
      </w:r>
      <w:proofErr w:type="spellEnd"/>
      <w:r w:rsidRPr="00860C84">
        <w:rPr>
          <w:rFonts w:ascii="Lato" w:hAnsi="Lato"/>
          <w:color w:val="212529"/>
        </w:rPr>
        <w:t xml:space="preserve"> </w:t>
      </w:r>
      <w:proofErr w:type="spellStart"/>
      <w:r w:rsidRPr="00860C84">
        <w:rPr>
          <w:rFonts w:ascii="Lato" w:hAnsi="Lato"/>
          <w:color w:val="212529"/>
        </w:rPr>
        <w:t>Innovation</w:t>
      </w:r>
      <w:proofErr w:type="spellEnd"/>
      <w:r w:rsidRPr="00860C84">
        <w:rPr>
          <w:rFonts w:ascii="Lato" w:hAnsi="Lato"/>
          <w:color w:val="212529"/>
        </w:rPr>
        <w:t xml:space="preserve"> </w:t>
      </w:r>
      <w:proofErr w:type="spellStart"/>
      <w:r w:rsidRPr="00860C84">
        <w:rPr>
          <w:rFonts w:ascii="Lato" w:hAnsi="Lato"/>
          <w:color w:val="212529"/>
        </w:rPr>
        <w:t>Council</w:t>
      </w:r>
      <w:proofErr w:type="spellEnd"/>
      <w:r w:rsidRPr="00860C84">
        <w:rPr>
          <w:rFonts w:ascii="Lato" w:hAnsi="Lato"/>
          <w:color w:val="212529"/>
        </w:rPr>
        <w:t>. EIC to program kierowany do wsparcia najbardziej obiecujących europejskich innowatorów w realizacji przełomowych projektów obarczonych wysokim ryzykiem. Dostarcza różnorodn</w:t>
      </w:r>
      <w:r w:rsidR="00A030F3" w:rsidRPr="00860C84">
        <w:rPr>
          <w:rFonts w:ascii="Lato" w:hAnsi="Lato"/>
          <w:color w:val="212529"/>
        </w:rPr>
        <w:t>e</w:t>
      </w:r>
      <w:r w:rsidRPr="00860C84">
        <w:rPr>
          <w:rFonts w:ascii="Lato" w:hAnsi="Lato"/>
          <w:color w:val="212529"/>
        </w:rPr>
        <w:t xml:space="preserve"> narzędzi</w:t>
      </w:r>
      <w:r w:rsidR="00A030F3" w:rsidRPr="00860C84">
        <w:rPr>
          <w:rFonts w:ascii="Lato" w:hAnsi="Lato"/>
          <w:color w:val="212529"/>
        </w:rPr>
        <w:t>a</w:t>
      </w:r>
      <w:r w:rsidRPr="00860C84">
        <w:rPr>
          <w:rFonts w:ascii="Lato" w:hAnsi="Lato"/>
          <w:color w:val="212529"/>
        </w:rPr>
        <w:t xml:space="preserve"> finansowania, umożliwiając przedsiębiorcom skuteczne wsparcie w różnych etapach rozwoju projektów.</w:t>
      </w:r>
    </w:p>
    <w:p w14:paraId="195B9F31" w14:textId="77777777" w:rsidR="00A030F3" w:rsidRPr="00860C84" w:rsidRDefault="00A030F3" w:rsidP="00A030F3">
      <w:pPr>
        <w:spacing w:after="0" w:line="360" w:lineRule="auto"/>
        <w:jc w:val="both"/>
        <w:rPr>
          <w:rFonts w:ascii="Lato" w:hAnsi="Lato"/>
          <w:color w:val="212529"/>
        </w:rPr>
      </w:pPr>
    </w:p>
    <w:p w14:paraId="0000000B" w14:textId="77777777" w:rsidR="00752BFB" w:rsidRPr="00860C84" w:rsidRDefault="00000000" w:rsidP="00A030F3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0" w:line="360" w:lineRule="auto"/>
        <w:jc w:val="both"/>
        <w:rPr>
          <w:rFonts w:ascii="Lato" w:hAnsi="Lato"/>
          <w:color w:val="212529"/>
        </w:rPr>
      </w:pPr>
      <w:r w:rsidRPr="00860C84">
        <w:rPr>
          <w:rFonts w:ascii="Lato" w:hAnsi="Lato"/>
          <w:color w:val="212529"/>
        </w:rPr>
        <w:t xml:space="preserve">Jednym z tych instrumentów jest program </w:t>
      </w:r>
      <w:proofErr w:type="spellStart"/>
      <w:r w:rsidRPr="00860C84">
        <w:rPr>
          <w:rFonts w:ascii="Lato" w:hAnsi="Lato"/>
          <w:color w:val="212529"/>
        </w:rPr>
        <w:t>Pathfinder</w:t>
      </w:r>
      <w:proofErr w:type="spellEnd"/>
      <w:r w:rsidRPr="00860C84">
        <w:rPr>
          <w:rFonts w:ascii="Lato" w:hAnsi="Lato"/>
          <w:color w:val="212529"/>
        </w:rPr>
        <w:t>, zorientowany na projekty wczesnych badań naukowych. Jego celem jest udowodnienie zasad i walidacja podstaw naukowych przełomowych technologii, dążących do osiągnięcia TRL3 lub 4. Konsorcja zainteresowane udziałem mają czas na składanie wniosków do 07.03.2024, a dostępna pula środków w konkursie wynosi 136 mln euro.</w:t>
      </w:r>
    </w:p>
    <w:p w14:paraId="1AA1BC77" w14:textId="77777777" w:rsidR="00A030F3" w:rsidRPr="00860C84" w:rsidRDefault="00A030F3" w:rsidP="00A030F3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0" w:line="360" w:lineRule="auto"/>
        <w:jc w:val="both"/>
        <w:rPr>
          <w:rFonts w:ascii="Lato" w:hAnsi="Lato"/>
          <w:color w:val="212529"/>
        </w:rPr>
      </w:pPr>
    </w:p>
    <w:p w14:paraId="0000000C" w14:textId="77777777" w:rsidR="00752BFB" w:rsidRDefault="00000000" w:rsidP="00A030F3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0" w:line="360" w:lineRule="auto"/>
        <w:jc w:val="both"/>
        <w:rPr>
          <w:rFonts w:ascii="Lato" w:hAnsi="Lato"/>
          <w:color w:val="212529"/>
        </w:rPr>
      </w:pPr>
      <w:r w:rsidRPr="00860C84">
        <w:rPr>
          <w:rFonts w:ascii="Lato" w:hAnsi="Lato"/>
          <w:color w:val="212529"/>
        </w:rPr>
        <w:t xml:space="preserve">Kolejnym narzędziem finansowania oferowanym przez EIC jest program </w:t>
      </w:r>
      <w:proofErr w:type="spellStart"/>
      <w:r w:rsidRPr="00860C84">
        <w:rPr>
          <w:rFonts w:ascii="Lato" w:hAnsi="Lato"/>
          <w:color w:val="212529"/>
        </w:rPr>
        <w:t>Transition</w:t>
      </w:r>
      <w:proofErr w:type="spellEnd"/>
      <w:r w:rsidRPr="00860C84">
        <w:rPr>
          <w:rFonts w:ascii="Lato" w:hAnsi="Lato"/>
          <w:color w:val="212529"/>
        </w:rPr>
        <w:t xml:space="preserve">. Skierowany jest on do projektów, które rozwijają technologie na bazie wyników wcześniej zrealizowanego projektu, takiego jak </w:t>
      </w:r>
      <w:proofErr w:type="spellStart"/>
      <w:r w:rsidRPr="00860C84">
        <w:rPr>
          <w:rFonts w:ascii="Lato" w:hAnsi="Lato"/>
          <w:color w:val="212529"/>
        </w:rPr>
        <w:t>Pathfinder</w:t>
      </w:r>
      <w:proofErr w:type="spellEnd"/>
      <w:r w:rsidRPr="00860C84">
        <w:rPr>
          <w:rFonts w:ascii="Lato" w:hAnsi="Lato"/>
          <w:color w:val="212529"/>
        </w:rPr>
        <w:t xml:space="preserve"> czy ERC Proof of </w:t>
      </w:r>
      <w:proofErr w:type="spellStart"/>
      <w:r w:rsidRPr="00860C84">
        <w:rPr>
          <w:rFonts w:ascii="Lato" w:hAnsi="Lato"/>
          <w:color w:val="212529"/>
        </w:rPr>
        <w:t>Concept</w:t>
      </w:r>
      <w:proofErr w:type="spellEnd"/>
      <w:r w:rsidRPr="00860C84">
        <w:rPr>
          <w:rFonts w:ascii="Lato" w:hAnsi="Lato"/>
          <w:color w:val="212529"/>
        </w:rPr>
        <w:t xml:space="preserve">. Projekt obejmuje walidację, demonstrację technologii w odpowiednim środowisku aplikacyjnym (od TRL 3/4 do TRL 5/6) oraz rozwój gotowości biznesowej i rynkowej. Wnioski mogą składać MŚP, </w:t>
      </w:r>
      <w:proofErr w:type="spellStart"/>
      <w:r w:rsidRPr="00860C84">
        <w:rPr>
          <w:rFonts w:ascii="Lato" w:hAnsi="Lato"/>
          <w:color w:val="212529"/>
        </w:rPr>
        <w:t>spin-offy</w:t>
      </w:r>
      <w:proofErr w:type="spellEnd"/>
      <w:r w:rsidRPr="00860C84">
        <w:rPr>
          <w:rFonts w:ascii="Lato" w:hAnsi="Lato"/>
          <w:color w:val="212529"/>
        </w:rPr>
        <w:t>, start-</w:t>
      </w:r>
      <w:proofErr w:type="spellStart"/>
      <w:r w:rsidRPr="00860C84">
        <w:rPr>
          <w:rFonts w:ascii="Lato" w:hAnsi="Lato"/>
          <w:color w:val="212529"/>
        </w:rPr>
        <w:t>upy</w:t>
      </w:r>
      <w:proofErr w:type="spellEnd"/>
      <w:r w:rsidRPr="00860C84">
        <w:rPr>
          <w:rFonts w:ascii="Lato" w:hAnsi="Lato"/>
          <w:color w:val="212529"/>
        </w:rPr>
        <w:t>, organizacje badawcze, uniwersytety, a także małe konsorcja, złożone z minimum 2 i maksymalnie 5 kwalifikujących się podmiotów. Termin składania wniosków to 18.09.2024. W puli środków dostępnych w konkursie znajduje się 94 mln euro.</w:t>
      </w:r>
    </w:p>
    <w:p w14:paraId="53A1332F" w14:textId="77777777" w:rsidR="00860C84" w:rsidRPr="00860C84" w:rsidRDefault="00860C84" w:rsidP="00A030F3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0" w:line="360" w:lineRule="auto"/>
        <w:jc w:val="both"/>
        <w:rPr>
          <w:rFonts w:ascii="Lato" w:hAnsi="Lato"/>
          <w:color w:val="212529"/>
        </w:rPr>
      </w:pPr>
    </w:p>
    <w:p w14:paraId="0000000D" w14:textId="77777777" w:rsidR="00752BFB" w:rsidRPr="00860C84" w:rsidRDefault="00000000" w:rsidP="00A030F3">
      <w:pPr>
        <w:pBdr>
          <w:top w:val="none" w:sz="0" w:space="0" w:color="D9D9E3"/>
          <w:left w:val="none" w:sz="0" w:space="0" w:color="D9D9E3"/>
          <w:bottom w:val="none" w:sz="0" w:space="0" w:color="D9D9E3"/>
          <w:right w:val="none" w:sz="0" w:space="0" w:color="D9D9E3"/>
          <w:between w:val="none" w:sz="0" w:space="0" w:color="D9D9E3"/>
        </w:pBdr>
        <w:spacing w:after="0" w:line="360" w:lineRule="auto"/>
        <w:jc w:val="both"/>
        <w:rPr>
          <w:rFonts w:ascii="Lato" w:hAnsi="Lato"/>
          <w:color w:val="374151"/>
        </w:rPr>
      </w:pPr>
      <w:r w:rsidRPr="00860C84">
        <w:rPr>
          <w:rFonts w:ascii="Lato" w:hAnsi="Lato"/>
          <w:color w:val="212529"/>
        </w:rPr>
        <w:t>Program Accelerator to kolejna propozycja EIC, skoncentrowana na projektach rozwoju przełomowych technologii do momentu wprowadzenia ich na rynek. O dofinansowanie mogą się ubiegać pojedyncze start-</w:t>
      </w:r>
      <w:proofErr w:type="spellStart"/>
      <w:r w:rsidRPr="00860C84">
        <w:rPr>
          <w:rFonts w:ascii="Lato" w:hAnsi="Lato"/>
          <w:color w:val="212529"/>
        </w:rPr>
        <w:t>upy</w:t>
      </w:r>
      <w:proofErr w:type="spellEnd"/>
      <w:r w:rsidRPr="00860C84">
        <w:rPr>
          <w:rFonts w:ascii="Lato" w:hAnsi="Lato"/>
          <w:color w:val="212529"/>
        </w:rPr>
        <w:t xml:space="preserve"> i MŚP, w tym </w:t>
      </w:r>
      <w:proofErr w:type="spellStart"/>
      <w:r w:rsidRPr="00860C84">
        <w:rPr>
          <w:rFonts w:ascii="Lato" w:hAnsi="Lato"/>
          <w:color w:val="212529"/>
        </w:rPr>
        <w:t>spin-offy</w:t>
      </w:r>
      <w:proofErr w:type="spellEnd"/>
      <w:r w:rsidRPr="00860C84">
        <w:rPr>
          <w:rFonts w:ascii="Lato" w:hAnsi="Lato"/>
          <w:color w:val="212529"/>
        </w:rPr>
        <w:t>, a także osoby fizyczne, noszące się z zamiarem uruchomienia start-</w:t>
      </w:r>
      <w:proofErr w:type="spellStart"/>
      <w:r w:rsidRPr="00860C84">
        <w:rPr>
          <w:rFonts w:ascii="Lato" w:hAnsi="Lato"/>
          <w:color w:val="212529"/>
        </w:rPr>
        <w:t>upu</w:t>
      </w:r>
      <w:proofErr w:type="spellEnd"/>
      <w:r w:rsidRPr="00860C84">
        <w:rPr>
          <w:rFonts w:ascii="Lato" w:hAnsi="Lato"/>
          <w:color w:val="212529"/>
        </w:rPr>
        <w:t xml:space="preserve">/MŚP. W wyjątkowych przypadkach dopuszcza się również małe spółki o średniej kapitalizacji (poniżej 499 pracowników). Termin składania wniosków to </w:t>
      </w:r>
      <w:r w:rsidRPr="00860C84">
        <w:rPr>
          <w:rFonts w:ascii="Lato" w:hAnsi="Lato"/>
          <w:color w:val="212529"/>
        </w:rPr>
        <w:lastRenderedPageBreak/>
        <w:t>marzec 2024 (I konkurs) oraz październik 2024 (II konkurs). W puli środków przeznaczonych na ten cel dostępnych jest 375 mln euro</w:t>
      </w:r>
      <w:r w:rsidRPr="00860C84">
        <w:rPr>
          <w:rFonts w:ascii="Lato" w:hAnsi="Lato"/>
          <w:color w:val="374151"/>
        </w:rPr>
        <w:t>.</w:t>
      </w:r>
    </w:p>
    <w:p w14:paraId="0000000E" w14:textId="77777777" w:rsidR="00752BFB" w:rsidRPr="00860C84" w:rsidRDefault="00000000" w:rsidP="00A030F3">
      <w:pPr>
        <w:pStyle w:val="Nagwek2"/>
        <w:spacing w:before="0" w:beforeAutospacing="0" w:after="0" w:afterAutospacing="0" w:line="360" w:lineRule="auto"/>
        <w:rPr>
          <w:rFonts w:ascii="Lato" w:hAnsi="Lato"/>
          <w:b/>
        </w:rPr>
      </w:pPr>
      <w:r w:rsidRPr="00860C84">
        <w:rPr>
          <w:rFonts w:ascii="Lato" w:hAnsi="Lato"/>
          <w:b/>
        </w:rPr>
        <w:br/>
        <w:t>Dotacje krajowe w Agencji Badań Medycznych</w:t>
      </w:r>
    </w:p>
    <w:p w14:paraId="0000000F" w14:textId="77777777" w:rsidR="00752BFB" w:rsidRPr="00860C84" w:rsidRDefault="00000000" w:rsidP="00A030F3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  <w:color w:val="000000"/>
          <w:sz w:val="22"/>
          <w:szCs w:val="22"/>
        </w:rPr>
      </w:pPr>
      <w:r w:rsidRPr="00860C84">
        <w:rPr>
          <w:rFonts w:ascii="Lato" w:hAnsi="Lato"/>
          <w:color w:val="000000"/>
          <w:sz w:val="22"/>
          <w:szCs w:val="22"/>
        </w:rPr>
        <w:t xml:space="preserve">W tym roku ogłoszenie pięciu konkursów planuje Agencja Badań Medycznych (ABM). Ich łączna alokacja wyniesie dwa miliardy złotych, z czego 300 mln zł będzie przeznaczone na projekty komercyjne w obszarze rozwoju innowacyjnych produktów leczniczych oraz odpowiedników oryginalnych produktów leczniczych, w tym nowych postaci farmaceutycznych i nowych zastosowań znanych substancji czynnych oraz kombinacji substancji czynnych ze szczególnym uwzględnieniem produktów leczniczych o działaniu przeciwdrobnoustrojowym. Ogłoszenie konkursu przewidziano na IV kwartał roku. </w:t>
      </w:r>
    </w:p>
    <w:p w14:paraId="34D89A84" w14:textId="77777777" w:rsidR="00A030F3" w:rsidRPr="00860C84" w:rsidRDefault="00A030F3" w:rsidP="00A030F3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  <w:color w:val="000000"/>
          <w:sz w:val="22"/>
          <w:szCs w:val="22"/>
        </w:rPr>
      </w:pPr>
    </w:p>
    <w:p w14:paraId="00000010" w14:textId="77777777" w:rsidR="00752BFB" w:rsidRPr="00860C84" w:rsidRDefault="00000000" w:rsidP="00A030F3">
      <w:pPr>
        <w:spacing w:after="0" w:line="360" w:lineRule="auto"/>
        <w:jc w:val="both"/>
        <w:rPr>
          <w:rFonts w:ascii="Lato" w:hAnsi="Lato"/>
        </w:rPr>
      </w:pPr>
      <w:r w:rsidRPr="00860C84">
        <w:rPr>
          <w:rFonts w:ascii="Lato" w:hAnsi="Lato"/>
        </w:rPr>
        <w:t xml:space="preserve">Oferta programów dotacyjnych w 2024 roku jest bardzo różnorodna. Spółki </w:t>
      </w:r>
      <w:proofErr w:type="spellStart"/>
      <w:r w:rsidRPr="00860C84">
        <w:rPr>
          <w:rFonts w:ascii="Lato" w:hAnsi="Lato"/>
        </w:rPr>
        <w:t>deep-tech</w:t>
      </w:r>
      <w:proofErr w:type="spellEnd"/>
      <w:r w:rsidRPr="00860C84">
        <w:rPr>
          <w:rFonts w:ascii="Lato" w:hAnsi="Lato"/>
        </w:rPr>
        <w:t xml:space="preserve"> mogą próbować swoich sił zarówno na arenie europejskiej w prestiżowych programach organizowanych przez EIC jak i w Polsce w ramach krajowego FENG. Dla mniej innowacyjnych i przełomowych projektów, do dyspozycji są również konkursy w ramach Funduszy Europejskich dla Regionów. – </w:t>
      </w:r>
      <w:r w:rsidRPr="00860C84">
        <w:rPr>
          <w:rFonts w:ascii="Lato" w:hAnsi="Lato"/>
          <w:i/>
        </w:rPr>
        <w:t>Jest to dobra alternatywa dla tych, którym nie powiodło się w bardzo konkurencyjnych konkursach FENG czy EIC</w:t>
      </w:r>
      <w:r w:rsidRPr="00860C84">
        <w:rPr>
          <w:rFonts w:ascii="Lato" w:hAnsi="Lato"/>
        </w:rPr>
        <w:t xml:space="preserve"> – zauważa ekspert z Innology. </w:t>
      </w:r>
    </w:p>
    <w:p w14:paraId="20D55241" w14:textId="77777777" w:rsidR="00860C84" w:rsidRPr="00860C84" w:rsidRDefault="00860C84" w:rsidP="00A030F3">
      <w:pPr>
        <w:spacing w:after="0" w:line="360" w:lineRule="auto"/>
        <w:jc w:val="both"/>
        <w:rPr>
          <w:rFonts w:ascii="Lato" w:hAnsi="Lato"/>
        </w:rPr>
      </w:pPr>
    </w:p>
    <w:p w14:paraId="3E6000D9" w14:textId="77777777" w:rsidR="00860C84" w:rsidRPr="00860C84" w:rsidRDefault="00860C84" w:rsidP="00A030F3">
      <w:pPr>
        <w:spacing w:after="0" w:line="360" w:lineRule="auto"/>
        <w:jc w:val="both"/>
        <w:rPr>
          <w:rFonts w:ascii="Lato" w:hAnsi="Lato"/>
        </w:rPr>
      </w:pPr>
    </w:p>
    <w:p w14:paraId="710238A5" w14:textId="77777777" w:rsidR="00860C84" w:rsidRPr="00860C84" w:rsidRDefault="00860C84" w:rsidP="00860C84">
      <w:pPr>
        <w:spacing w:line="360" w:lineRule="auto"/>
        <w:rPr>
          <w:rFonts w:ascii="Lato" w:hAnsi="Lato"/>
          <w:sz w:val="20"/>
          <w:szCs w:val="20"/>
        </w:rPr>
      </w:pPr>
      <w:r w:rsidRPr="00860C84">
        <w:rPr>
          <w:rFonts w:ascii="Lato" w:hAnsi="Lato"/>
          <w:sz w:val="20"/>
          <w:szCs w:val="20"/>
        </w:rPr>
        <w:t>Kontakt dla mediów:</w:t>
      </w:r>
    </w:p>
    <w:p w14:paraId="7D43F4FE" w14:textId="77777777" w:rsidR="00860C84" w:rsidRPr="00860C84" w:rsidRDefault="00860C84" w:rsidP="00860C84">
      <w:pPr>
        <w:spacing w:line="360" w:lineRule="auto"/>
        <w:rPr>
          <w:rFonts w:ascii="Lato" w:hAnsi="Lato"/>
          <w:sz w:val="20"/>
          <w:szCs w:val="20"/>
        </w:rPr>
      </w:pPr>
      <w:r w:rsidRPr="00860C84">
        <w:rPr>
          <w:rFonts w:ascii="Lato" w:hAnsi="Lato"/>
          <w:sz w:val="20"/>
          <w:szCs w:val="20"/>
        </w:rPr>
        <w:t>Małgorzata Knapik-Klata</w:t>
      </w:r>
    </w:p>
    <w:p w14:paraId="331AB992" w14:textId="77777777" w:rsidR="00860C84" w:rsidRPr="00860C84" w:rsidRDefault="00860C84" w:rsidP="00860C84">
      <w:pPr>
        <w:spacing w:line="360" w:lineRule="auto"/>
        <w:rPr>
          <w:rFonts w:ascii="Lato" w:hAnsi="Lato"/>
          <w:sz w:val="20"/>
          <w:szCs w:val="20"/>
        </w:rPr>
      </w:pPr>
      <w:r w:rsidRPr="00860C84">
        <w:rPr>
          <w:rFonts w:ascii="Lato" w:hAnsi="Lato"/>
          <w:sz w:val="20"/>
          <w:szCs w:val="20"/>
        </w:rPr>
        <w:t>PR Manager</w:t>
      </w:r>
    </w:p>
    <w:p w14:paraId="234DF546" w14:textId="77777777" w:rsidR="00860C84" w:rsidRPr="00860C84" w:rsidRDefault="00860C84" w:rsidP="00860C84">
      <w:pPr>
        <w:spacing w:line="360" w:lineRule="auto"/>
        <w:rPr>
          <w:rFonts w:ascii="Lato" w:hAnsi="Lato"/>
          <w:sz w:val="20"/>
          <w:szCs w:val="20"/>
        </w:rPr>
      </w:pPr>
      <w:hyperlink r:id="rId7" w:history="1">
        <w:r w:rsidRPr="00860C84">
          <w:rPr>
            <w:rStyle w:val="Hipercze"/>
            <w:rFonts w:ascii="Lato" w:hAnsi="Lato"/>
          </w:rPr>
          <w:t>m.knapik-klata@commplace.com.pl</w:t>
        </w:r>
      </w:hyperlink>
    </w:p>
    <w:p w14:paraId="00C7531A" w14:textId="5317C1A7" w:rsidR="00860C84" w:rsidRPr="00860C84" w:rsidRDefault="00860C84" w:rsidP="00860C84">
      <w:pPr>
        <w:spacing w:line="360" w:lineRule="auto"/>
        <w:jc w:val="both"/>
        <w:rPr>
          <w:rFonts w:ascii="Lato" w:hAnsi="Lato"/>
        </w:rPr>
      </w:pPr>
      <w:r w:rsidRPr="00860C84">
        <w:rPr>
          <w:rFonts w:ascii="Lato" w:hAnsi="Lato"/>
          <w:sz w:val="20"/>
          <w:szCs w:val="20"/>
        </w:rPr>
        <w:t>+ 48 509 986</w:t>
      </w:r>
      <w:r w:rsidRPr="00860C84">
        <w:rPr>
          <w:rFonts w:ascii="Lato" w:hAnsi="Lato"/>
          <w:sz w:val="20"/>
          <w:szCs w:val="20"/>
        </w:rPr>
        <w:t> </w:t>
      </w:r>
      <w:r w:rsidRPr="00860C84">
        <w:rPr>
          <w:rFonts w:ascii="Lato" w:hAnsi="Lato"/>
          <w:sz w:val="20"/>
          <w:szCs w:val="20"/>
        </w:rPr>
        <w:t>984</w:t>
      </w:r>
    </w:p>
    <w:p w14:paraId="11BBE9BA" w14:textId="77777777" w:rsidR="00860C84" w:rsidRPr="00860C84" w:rsidRDefault="00860C84" w:rsidP="00A030F3">
      <w:pPr>
        <w:spacing w:after="0" w:line="360" w:lineRule="auto"/>
        <w:jc w:val="both"/>
        <w:rPr>
          <w:rFonts w:ascii="Lato" w:hAnsi="Lato"/>
        </w:rPr>
      </w:pPr>
    </w:p>
    <w:sectPr w:rsidR="00860C84" w:rsidRPr="00860C84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782E1" w14:textId="77777777" w:rsidR="008C12FF" w:rsidRDefault="008C12FF" w:rsidP="00860C84">
      <w:pPr>
        <w:spacing w:after="0" w:line="240" w:lineRule="auto"/>
      </w:pPr>
      <w:r>
        <w:separator/>
      </w:r>
    </w:p>
  </w:endnote>
  <w:endnote w:type="continuationSeparator" w:id="0">
    <w:p w14:paraId="733F4554" w14:textId="77777777" w:rsidR="008C12FF" w:rsidRDefault="008C12FF" w:rsidP="00860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05288" w14:textId="77777777" w:rsidR="008C12FF" w:rsidRDefault="008C12FF" w:rsidP="00860C84">
      <w:pPr>
        <w:spacing w:after="0" w:line="240" w:lineRule="auto"/>
      </w:pPr>
      <w:r>
        <w:separator/>
      </w:r>
    </w:p>
  </w:footnote>
  <w:footnote w:type="continuationSeparator" w:id="0">
    <w:p w14:paraId="233F9449" w14:textId="77777777" w:rsidR="008C12FF" w:rsidRDefault="008C12FF" w:rsidP="00860C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808BA" w14:textId="77777777" w:rsidR="00860C84" w:rsidRDefault="00860C84" w:rsidP="00860C84">
    <w:pPr>
      <w:pStyle w:val="Nagwek"/>
      <w:rPr>
        <w:rFonts w:ascii="Lato" w:hAnsi="Lato"/>
      </w:rPr>
    </w:pPr>
    <w:r w:rsidRPr="0073198D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15EB29CF" wp14:editId="79AFB859">
          <wp:simplePos x="0" y="0"/>
          <wp:positionH relativeFrom="column">
            <wp:posOffset>3771900</wp:posOffset>
          </wp:positionH>
          <wp:positionV relativeFrom="paragraph">
            <wp:posOffset>76200</wp:posOffset>
          </wp:positionV>
          <wp:extent cx="2016760" cy="678180"/>
          <wp:effectExtent l="0" t="0" r="2540" b="7620"/>
          <wp:wrapTight wrapText="bothSides">
            <wp:wrapPolygon edited="0">
              <wp:start x="0" y="0"/>
              <wp:lineTo x="0" y="21236"/>
              <wp:lineTo x="21423" y="21236"/>
              <wp:lineTo x="21423" y="0"/>
              <wp:lineTo x="0" y="0"/>
            </wp:wrapPolygon>
          </wp:wrapTight>
          <wp:docPr id="1978054637" name="Obraz 1978054637" descr="Obraz zawierający Czcionka, logo, Grafika,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940474" name="Obraz 1" descr="Obraz zawierający Czcionka, logo, Grafika,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6760" cy="678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ED39C29" w14:textId="77777777" w:rsidR="00860C84" w:rsidRDefault="00860C84" w:rsidP="00860C84">
    <w:pPr>
      <w:pStyle w:val="Nagwek"/>
      <w:rPr>
        <w:rFonts w:ascii="Lato" w:hAnsi="Lato"/>
      </w:rPr>
    </w:pPr>
  </w:p>
  <w:p w14:paraId="171AD3DF" w14:textId="77777777" w:rsidR="00860C84" w:rsidRDefault="00860C84" w:rsidP="00860C84">
    <w:pPr>
      <w:pStyle w:val="Nagwek"/>
      <w:rPr>
        <w:rFonts w:ascii="Lato" w:hAnsi="Lato"/>
      </w:rPr>
    </w:pPr>
    <w:r w:rsidRPr="0073198D">
      <w:rPr>
        <w:rFonts w:ascii="Lato" w:hAnsi="Lato"/>
      </w:rPr>
      <w:t>INFORMACJA</w:t>
    </w:r>
    <w:r>
      <w:rPr>
        <w:rFonts w:ascii="Lato" w:hAnsi="Lato"/>
      </w:rPr>
      <w:t xml:space="preserve"> PRASOWA</w:t>
    </w:r>
  </w:p>
  <w:p w14:paraId="7B3ED8F7" w14:textId="77777777" w:rsidR="00860C84" w:rsidRDefault="00860C84" w:rsidP="00860C84">
    <w:pPr>
      <w:pStyle w:val="Nagwek"/>
      <w:rPr>
        <w:rFonts w:ascii="Lato" w:hAnsi="Lato"/>
      </w:rPr>
    </w:pPr>
  </w:p>
  <w:p w14:paraId="35167C75" w14:textId="77777777" w:rsidR="00860C84" w:rsidRDefault="00860C84" w:rsidP="00860C84">
    <w:pPr>
      <w:pStyle w:val="Nagwek"/>
    </w:pPr>
  </w:p>
  <w:p w14:paraId="3AB170BE" w14:textId="77777777" w:rsidR="00860C84" w:rsidRDefault="00860C84" w:rsidP="00860C84">
    <w:pPr>
      <w:pStyle w:val="Nagwek"/>
    </w:pPr>
  </w:p>
  <w:p w14:paraId="7D007743" w14:textId="77777777" w:rsidR="00860C84" w:rsidRDefault="00860C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BFB"/>
    <w:rsid w:val="00752BFB"/>
    <w:rsid w:val="00860C84"/>
    <w:rsid w:val="008C12FF"/>
    <w:rsid w:val="00A0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F0933"/>
  <w15:docId w15:val="{AE9F3210-49B0-48EE-8CF8-CA8F3EC0A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91A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91A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860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0C84"/>
  </w:style>
  <w:style w:type="paragraph" w:styleId="Stopka">
    <w:name w:val="footer"/>
    <w:basedOn w:val="Normalny"/>
    <w:link w:val="StopkaZnak"/>
    <w:uiPriority w:val="99"/>
    <w:unhideWhenUsed/>
    <w:rsid w:val="00860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C84"/>
  </w:style>
  <w:style w:type="character" w:styleId="Hipercze">
    <w:name w:val="Hyperlink"/>
    <w:rsid w:val="00860C84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2nmH4iaunql5BDy4grDjCwOFB1A==">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822</Words>
  <Characters>4933</Characters>
  <Application>Microsoft Office Word</Application>
  <DocSecurity>0</DocSecurity>
  <Lines>41</Lines>
  <Paragraphs>11</Paragraphs>
  <ScaleCrop>false</ScaleCrop>
  <Company/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Knapik-Klata</cp:lastModifiedBy>
  <cp:revision>3</cp:revision>
  <dcterms:created xsi:type="dcterms:W3CDTF">2024-01-23T13:22:00Z</dcterms:created>
  <dcterms:modified xsi:type="dcterms:W3CDTF">2024-02-07T11:35:00Z</dcterms:modified>
</cp:coreProperties>
</file>