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F3ECC6" w14:textId="77777777" w:rsidR="00234B77" w:rsidRPr="00234B77" w:rsidRDefault="00234B77" w:rsidP="00234B77">
      <w:pPr>
        <w:jc w:val="both"/>
        <w:rPr>
          <w:b/>
          <w:bCs/>
          <w:sz w:val="24"/>
          <w:szCs w:val="24"/>
        </w:rPr>
      </w:pPr>
      <w:r w:rsidRPr="00234B77">
        <w:rPr>
          <w:b/>
          <w:bCs/>
          <w:sz w:val="24"/>
          <w:szCs w:val="24"/>
        </w:rPr>
        <w:t>Nowe inwestycje mieszkaniowe – jak deweloperzy wpisują się w kontekst miasta i jego mieszkańców?</w:t>
      </w:r>
    </w:p>
    <w:p w14:paraId="5FEC25BA" w14:textId="0344FAD8" w:rsidR="00234B77" w:rsidRPr="00234B77" w:rsidRDefault="00234B77" w:rsidP="00234B77">
      <w:pPr>
        <w:jc w:val="both"/>
        <w:rPr>
          <w:sz w:val="24"/>
          <w:szCs w:val="24"/>
        </w:rPr>
      </w:pPr>
      <w:r w:rsidRPr="00234B77">
        <w:rPr>
          <w:sz w:val="24"/>
          <w:szCs w:val="24"/>
        </w:rPr>
        <w:t>W wielu polskich miastach nowe inwestycje mieszkaniowe powstają dziś w miejscach z historią – dawnych terenach przemysłowych, poprzemysłowych czy usługowych. To naturalny kierunek rozwoju miast, które zamiast rozlewać się na obrzeża, coraz częściej wykorzystują już istniejącą przestrzeń. Pojawia się jednak pytanie: jak projektować i realizować inwestycje, które nie tylko powstają „w mieście”, ale faktycznie stają się jego częścią?</w:t>
      </w:r>
    </w:p>
    <w:p w14:paraId="017029F7" w14:textId="77777777" w:rsidR="00234B77" w:rsidRPr="00234B77" w:rsidRDefault="00234B77" w:rsidP="00234B77">
      <w:pPr>
        <w:jc w:val="both"/>
        <w:rPr>
          <w:b/>
          <w:bCs/>
          <w:sz w:val="24"/>
          <w:szCs w:val="24"/>
        </w:rPr>
      </w:pPr>
      <w:r w:rsidRPr="00234B77">
        <w:rPr>
          <w:b/>
          <w:bCs/>
          <w:sz w:val="24"/>
          <w:szCs w:val="24"/>
        </w:rPr>
        <w:t>Miasta się zmieniają, ale ich tożsamość zostaje</w:t>
      </w:r>
    </w:p>
    <w:p w14:paraId="47069098" w14:textId="77777777" w:rsidR="00234B77" w:rsidRPr="00234B77" w:rsidRDefault="00234B77" w:rsidP="00234B77">
      <w:pPr>
        <w:jc w:val="both"/>
        <w:rPr>
          <w:sz w:val="24"/>
          <w:szCs w:val="24"/>
        </w:rPr>
      </w:pPr>
      <w:r w:rsidRPr="00234B77">
        <w:rPr>
          <w:sz w:val="24"/>
          <w:szCs w:val="24"/>
        </w:rPr>
        <w:t>Transformacja terenów poprzemysłowych to jeden z najważniejszych trendów urbanistycznych ostatnich lat. Z jednej strony pozwala wykorzystać atrakcyjnie położone działki, często blisko centrum i dobrze skomunikowane. Z drugiej – wymaga dużej wrażliwości na kontekst miejsca.</w:t>
      </w:r>
    </w:p>
    <w:p w14:paraId="4B4141E6" w14:textId="2ECACCD9" w:rsidR="00234B77" w:rsidRPr="00234B77" w:rsidRDefault="00234B77" w:rsidP="00234B77">
      <w:pPr>
        <w:jc w:val="both"/>
        <w:rPr>
          <w:sz w:val="24"/>
          <w:szCs w:val="24"/>
        </w:rPr>
      </w:pPr>
      <w:r w:rsidRPr="00234B77">
        <w:rPr>
          <w:sz w:val="24"/>
          <w:szCs w:val="24"/>
        </w:rPr>
        <w:t>To już nie jest sytuacja, w której inwestycję buduje się „od zera”. Każda lokalizacja ma swoją historię, skalę, rytm i społeczność.</w:t>
      </w:r>
      <w:r w:rsidRPr="00234B77">
        <w:rPr>
          <w:sz w:val="24"/>
          <w:szCs w:val="24"/>
        </w:rPr>
        <w:t xml:space="preserve"> </w:t>
      </w:r>
      <w:r w:rsidRPr="00234B77">
        <w:rPr>
          <w:sz w:val="24"/>
          <w:szCs w:val="24"/>
        </w:rPr>
        <w:t>Dla kupujących ma to coraz większe znaczenie – bo wybierają nie tylko mieszkanie, ale też otoczenie, w którym będą żyć na co dzień.</w:t>
      </w:r>
    </w:p>
    <w:p w14:paraId="43660C0B" w14:textId="77777777" w:rsidR="00234B77" w:rsidRPr="00234B77" w:rsidRDefault="00234B77" w:rsidP="00234B77">
      <w:pPr>
        <w:jc w:val="both"/>
        <w:rPr>
          <w:b/>
          <w:bCs/>
          <w:sz w:val="24"/>
          <w:szCs w:val="24"/>
        </w:rPr>
      </w:pPr>
      <w:r w:rsidRPr="00234B77">
        <w:rPr>
          <w:b/>
          <w:bCs/>
          <w:sz w:val="24"/>
          <w:szCs w:val="24"/>
        </w:rPr>
        <w:t>Inwestycja to dziś także odpowiedzialność za miejsce</w:t>
      </w:r>
    </w:p>
    <w:p w14:paraId="3CE8EA99" w14:textId="77777777" w:rsidR="00234B77" w:rsidRPr="00234B77" w:rsidRDefault="00234B77" w:rsidP="00234B77">
      <w:pPr>
        <w:jc w:val="both"/>
        <w:rPr>
          <w:sz w:val="24"/>
          <w:szCs w:val="24"/>
        </w:rPr>
      </w:pPr>
      <w:r w:rsidRPr="00234B77">
        <w:rPr>
          <w:sz w:val="24"/>
          <w:szCs w:val="24"/>
        </w:rPr>
        <w:t>Zmienia się także sposób myślenia o roli dewelopera. Oczekiwania klientów wykraczają poza sam standard budynku czy układ mieszkań.</w:t>
      </w:r>
    </w:p>
    <w:p w14:paraId="4E7CB8F0" w14:textId="77777777" w:rsidR="00234B77" w:rsidRPr="00234B77" w:rsidRDefault="00234B77" w:rsidP="00234B77">
      <w:pPr>
        <w:jc w:val="both"/>
        <w:rPr>
          <w:sz w:val="24"/>
          <w:szCs w:val="24"/>
        </w:rPr>
      </w:pPr>
      <w:r w:rsidRPr="00234B77">
        <w:rPr>
          <w:sz w:val="24"/>
          <w:szCs w:val="24"/>
        </w:rPr>
        <w:t>Liczy się to:</w:t>
      </w:r>
    </w:p>
    <w:p w14:paraId="21CFA25C" w14:textId="77777777" w:rsidR="00234B77" w:rsidRPr="00234B77" w:rsidRDefault="00234B77" w:rsidP="00234B77">
      <w:pPr>
        <w:numPr>
          <w:ilvl w:val="0"/>
          <w:numId w:val="1"/>
        </w:numPr>
        <w:jc w:val="both"/>
        <w:rPr>
          <w:sz w:val="24"/>
          <w:szCs w:val="24"/>
        </w:rPr>
      </w:pPr>
      <w:r w:rsidRPr="00234B77">
        <w:rPr>
          <w:sz w:val="24"/>
          <w:szCs w:val="24"/>
        </w:rPr>
        <w:t>jak projekt wpisuje się w dzielnicę,</w:t>
      </w:r>
    </w:p>
    <w:p w14:paraId="35946EBA" w14:textId="77777777" w:rsidR="00234B77" w:rsidRPr="00234B77" w:rsidRDefault="00234B77" w:rsidP="00234B77">
      <w:pPr>
        <w:numPr>
          <w:ilvl w:val="0"/>
          <w:numId w:val="1"/>
        </w:numPr>
        <w:jc w:val="both"/>
        <w:rPr>
          <w:sz w:val="24"/>
          <w:szCs w:val="24"/>
        </w:rPr>
      </w:pPr>
      <w:r w:rsidRPr="00234B77">
        <w:rPr>
          <w:sz w:val="24"/>
          <w:szCs w:val="24"/>
        </w:rPr>
        <w:t>czy uwzględnia jej charakter,</w:t>
      </w:r>
    </w:p>
    <w:p w14:paraId="1A689E1B" w14:textId="77777777" w:rsidR="00234B77" w:rsidRPr="00234B77" w:rsidRDefault="00234B77" w:rsidP="00234B77">
      <w:pPr>
        <w:numPr>
          <w:ilvl w:val="0"/>
          <w:numId w:val="1"/>
        </w:numPr>
        <w:jc w:val="both"/>
        <w:rPr>
          <w:sz w:val="24"/>
          <w:szCs w:val="24"/>
        </w:rPr>
      </w:pPr>
      <w:r w:rsidRPr="00234B77">
        <w:rPr>
          <w:sz w:val="24"/>
          <w:szCs w:val="24"/>
        </w:rPr>
        <w:t>czy wspiera rozwój okolicy, a nie tylko wykorzystuje jej potencjał.</w:t>
      </w:r>
    </w:p>
    <w:p w14:paraId="46543E92" w14:textId="1DF988BB" w:rsidR="00234B77" w:rsidRPr="00234B77" w:rsidRDefault="00234B77" w:rsidP="00234B77">
      <w:pPr>
        <w:jc w:val="both"/>
        <w:rPr>
          <w:sz w:val="24"/>
          <w:szCs w:val="24"/>
        </w:rPr>
      </w:pPr>
      <w:r w:rsidRPr="00234B77">
        <w:rPr>
          <w:sz w:val="24"/>
          <w:szCs w:val="24"/>
        </w:rPr>
        <w:t>Jak podkreśla Zuzanna Należyta, Dyrektor ds. Handlowych ECO-Classic:</w:t>
      </w:r>
      <w:r>
        <w:rPr>
          <w:sz w:val="24"/>
          <w:szCs w:val="24"/>
        </w:rPr>
        <w:t xml:space="preserve"> </w:t>
      </w:r>
      <w:r w:rsidRPr="00234B77">
        <w:rPr>
          <w:sz w:val="24"/>
          <w:szCs w:val="24"/>
        </w:rPr>
        <w:t>„Dziś kupujący bardzo świadomie patrzą na kontekst inwestycji. Interesuje ich nie tylko to, jak będzie wyglądało mieszkanie, ale też jak będzie funkcjonowało całe otoczenie. To oznacza, że odpowiedzialność dewelopera zaczyna się znacznie wcześniej niż na etapie budowy.”</w:t>
      </w:r>
    </w:p>
    <w:p w14:paraId="4CDC6C2F" w14:textId="77777777" w:rsidR="00234B77" w:rsidRPr="00234B77" w:rsidRDefault="00234B77" w:rsidP="00234B77">
      <w:pPr>
        <w:jc w:val="both"/>
        <w:rPr>
          <w:b/>
          <w:bCs/>
          <w:sz w:val="24"/>
          <w:szCs w:val="24"/>
        </w:rPr>
      </w:pPr>
      <w:r w:rsidRPr="00234B77">
        <w:rPr>
          <w:b/>
          <w:bCs/>
          <w:sz w:val="24"/>
          <w:szCs w:val="24"/>
        </w:rPr>
        <w:t>Poznań jako przykład: rozwój w oparciu o istniejącą tkankę miasta</w:t>
      </w:r>
    </w:p>
    <w:p w14:paraId="3F2F15D3" w14:textId="77777777" w:rsidR="00234B77" w:rsidRPr="00234B77" w:rsidRDefault="00234B77" w:rsidP="00234B77">
      <w:pPr>
        <w:jc w:val="both"/>
        <w:rPr>
          <w:sz w:val="24"/>
          <w:szCs w:val="24"/>
        </w:rPr>
      </w:pPr>
      <w:r w:rsidRPr="00234B77">
        <w:rPr>
          <w:sz w:val="24"/>
          <w:szCs w:val="24"/>
        </w:rPr>
        <w:t>W ostatnich latach w całej Polsce obserwujemy wyraźną zmianę kierunku rozwoju inwestycji mieszkaniowych. Coraz więcej projektów powstaje nie tylko na obrzeżach, ale także w już ukształtowanych częściach miast – na terenach poprzemysłowych, usługowych czy w dzielnicach o silnej tożsamości. To odpowiedź zarówno na ograniczoną dostępność gruntów w centrach, jak i na rosnące oczekiwania kupujących, którzy chcą mieszkać bliżej infrastruktury, komunikacji i życia miejskiego.</w:t>
      </w:r>
    </w:p>
    <w:p w14:paraId="0C6515D3" w14:textId="77777777" w:rsidR="00234B77" w:rsidRPr="00234B77" w:rsidRDefault="00234B77" w:rsidP="00234B77">
      <w:pPr>
        <w:jc w:val="both"/>
        <w:rPr>
          <w:sz w:val="24"/>
          <w:szCs w:val="24"/>
        </w:rPr>
      </w:pPr>
      <w:r w:rsidRPr="00234B77">
        <w:rPr>
          <w:sz w:val="24"/>
          <w:szCs w:val="24"/>
        </w:rPr>
        <w:t xml:space="preserve">Dobrym przykładem tego zjawiska jest Poznań, gdzie nowe inwestycje coraz częściej pojawiają się w istniejącej tkance miejskiej. Jedną z dzielnic, gdzie ten proces jest </w:t>
      </w:r>
      <w:r w:rsidRPr="00234B77">
        <w:rPr>
          <w:sz w:val="24"/>
          <w:szCs w:val="24"/>
        </w:rPr>
        <w:lastRenderedPageBreak/>
        <w:t>szczególnie widoczny, jest Wilda – obszar o wyraźnym charakterze, łączący przemysłową historię z dynamicznym rozwojem ostatnich lat.</w:t>
      </w:r>
    </w:p>
    <w:p w14:paraId="1D02EEC9" w14:textId="77777777" w:rsidR="00234B77" w:rsidRPr="00234B77" w:rsidRDefault="00234B77" w:rsidP="00234B77">
      <w:pPr>
        <w:jc w:val="both"/>
        <w:rPr>
          <w:sz w:val="24"/>
          <w:szCs w:val="24"/>
        </w:rPr>
      </w:pPr>
      <w:r w:rsidRPr="00234B77">
        <w:rPr>
          <w:sz w:val="24"/>
          <w:szCs w:val="24"/>
        </w:rPr>
        <w:t>Jednym z przykładów takiego podejścia jest projekt Nowy Cegielski, realizowany na terenach o przemysłowej historii. W tego typu lokalizacjach kluczowe staje się nie tylko stworzenie nowej zabudowy, ale także odpowiedź na kontekst miejsca – jego skalę, funkcje i sposób funkcjonowania dzielnicy.</w:t>
      </w:r>
    </w:p>
    <w:p w14:paraId="594FD120" w14:textId="23B29FBB" w:rsidR="00234B77" w:rsidRPr="00234B77" w:rsidRDefault="00234B77" w:rsidP="00234B77">
      <w:pPr>
        <w:jc w:val="both"/>
        <w:rPr>
          <w:sz w:val="24"/>
          <w:szCs w:val="24"/>
        </w:rPr>
      </w:pPr>
      <w:r w:rsidRPr="00234B77">
        <w:rPr>
          <w:sz w:val="24"/>
          <w:szCs w:val="24"/>
        </w:rPr>
        <w:t>Jak podkreśla Zuzanna Należyta:</w:t>
      </w:r>
      <w:r w:rsidRPr="00234B77">
        <w:rPr>
          <w:sz w:val="24"/>
          <w:szCs w:val="24"/>
        </w:rPr>
        <w:t xml:space="preserve"> </w:t>
      </w:r>
      <w:r w:rsidRPr="00234B77">
        <w:rPr>
          <w:sz w:val="24"/>
          <w:szCs w:val="24"/>
        </w:rPr>
        <w:t>„W przypadku takich projektów jak Nowy Cegielski punktem wyjścia nie jest tylko sam budynek, ale całe otoczenie i jego przyszłe funkcjonowanie. Kluczowe jest to, aby inwestycja nie była oderwana od dzielnicy, ale naturalnie się w nią wpisywała – zarówno pod względem funkcji, jak i sposobu, w jaki będzie wykorzystywana przez mieszkańców.”</w:t>
      </w:r>
    </w:p>
    <w:p w14:paraId="6616977B" w14:textId="77777777" w:rsidR="00234B77" w:rsidRPr="00234B77" w:rsidRDefault="00234B77" w:rsidP="00234B77">
      <w:pPr>
        <w:jc w:val="both"/>
        <w:rPr>
          <w:sz w:val="24"/>
          <w:szCs w:val="24"/>
        </w:rPr>
      </w:pPr>
      <w:r w:rsidRPr="00234B77">
        <w:rPr>
          <w:sz w:val="24"/>
          <w:szCs w:val="24"/>
        </w:rPr>
        <w:t>W takich lokalizacjach szczególnie ważne staje się to, czy nowa inwestycja:</w:t>
      </w:r>
    </w:p>
    <w:p w14:paraId="0BBE483E" w14:textId="77777777" w:rsidR="00234B77" w:rsidRPr="00234B77" w:rsidRDefault="00234B77" w:rsidP="00234B77">
      <w:pPr>
        <w:numPr>
          <w:ilvl w:val="0"/>
          <w:numId w:val="2"/>
        </w:numPr>
        <w:jc w:val="both"/>
        <w:rPr>
          <w:sz w:val="24"/>
          <w:szCs w:val="24"/>
        </w:rPr>
      </w:pPr>
      <w:r w:rsidRPr="00234B77">
        <w:rPr>
          <w:sz w:val="24"/>
          <w:szCs w:val="24"/>
        </w:rPr>
        <w:t>wpisuje się w istniejącą strukturę miasta,</w:t>
      </w:r>
    </w:p>
    <w:p w14:paraId="1DE61DFC" w14:textId="77777777" w:rsidR="00234B77" w:rsidRPr="00234B77" w:rsidRDefault="00234B77" w:rsidP="00234B77">
      <w:pPr>
        <w:numPr>
          <w:ilvl w:val="0"/>
          <w:numId w:val="2"/>
        </w:numPr>
        <w:jc w:val="both"/>
        <w:rPr>
          <w:sz w:val="24"/>
          <w:szCs w:val="24"/>
        </w:rPr>
      </w:pPr>
      <w:r w:rsidRPr="00234B77">
        <w:rPr>
          <w:sz w:val="24"/>
          <w:szCs w:val="24"/>
        </w:rPr>
        <w:t>odpowiada na realne potrzeby mieszkańców,</w:t>
      </w:r>
    </w:p>
    <w:p w14:paraId="20190D83" w14:textId="77777777" w:rsidR="00234B77" w:rsidRPr="00234B77" w:rsidRDefault="00234B77" w:rsidP="00234B77">
      <w:pPr>
        <w:numPr>
          <w:ilvl w:val="0"/>
          <w:numId w:val="2"/>
        </w:numPr>
        <w:jc w:val="both"/>
        <w:rPr>
          <w:sz w:val="24"/>
          <w:szCs w:val="24"/>
        </w:rPr>
      </w:pPr>
      <w:r w:rsidRPr="00234B77">
        <w:rPr>
          <w:sz w:val="24"/>
          <w:szCs w:val="24"/>
        </w:rPr>
        <w:t>buduje wartość także dla całej okolicy.</w:t>
      </w:r>
    </w:p>
    <w:p w14:paraId="2A7673E8" w14:textId="77777777" w:rsidR="00234B77" w:rsidRPr="00234B77" w:rsidRDefault="00234B77" w:rsidP="00234B77">
      <w:pPr>
        <w:jc w:val="both"/>
        <w:rPr>
          <w:b/>
          <w:bCs/>
          <w:sz w:val="24"/>
          <w:szCs w:val="24"/>
        </w:rPr>
      </w:pPr>
      <w:r w:rsidRPr="00234B77">
        <w:rPr>
          <w:b/>
          <w:bCs/>
          <w:sz w:val="24"/>
          <w:szCs w:val="24"/>
        </w:rPr>
        <w:t>Miejsce zaczyna działać wcześniej niż powstanie ostatni budynek</w:t>
      </w:r>
    </w:p>
    <w:p w14:paraId="209A0BE3" w14:textId="67404BE3" w:rsidR="00234B77" w:rsidRPr="00234B77" w:rsidRDefault="00234B77" w:rsidP="00234B77">
      <w:pPr>
        <w:jc w:val="both"/>
        <w:rPr>
          <w:sz w:val="24"/>
          <w:szCs w:val="24"/>
        </w:rPr>
      </w:pPr>
      <w:r w:rsidRPr="00234B77">
        <w:rPr>
          <w:sz w:val="24"/>
          <w:szCs w:val="24"/>
        </w:rPr>
        <w:t>Coraz częściej deweloperzy starają się „uruchomić” inwestycję jeszcze w trakcie jej realizacji – poprzez działania skierowane do mieszkańców dzielnicy.</w:t>
      </w:r>
      <w:r w:rsidRPr="00234B77">
        <w:rPr>
          <w:sz w:val="24"/>
          <w:szCs w:val="24"/>
        </w:rPr>
        <w:t xml:space="preserve"> </w:t>
      </w:r>
      <w:r w:rsidRPr="00234B77">
        <w:rPr>
          <w:sz w:val="24"/>
          <w:szCs w:val="24"/>
        </w:rPr>
        <w:t>Chodzi m.in. o:</w:t>
      </w:r>
    </w:p>
    <w:p w14:paraId="50C6D79C" w14:textId="77777777" w:rsidR="00234B77" w:rsidRPr="00234B77" w:rsidRDefault="00234B77" w:rsidP="00234B77">
      <w:pPr>
        <w:numPr>
          <w:ilvl w:val="0"/>
          <w:numId w:val="3"/>
        </w:numPr>
        <w:jc w:val="both"/>
        <w:rPr>
          <w:sz w:val="24"/>
          <w:szCs w:val="24"/>
        </w:rPr>
      </w:pPr>
      <w:r w:rsidRPr="00234B77">
        <w:rPr>
          <w:sz w:val="24"/>
          <w:szCs w:val="24"/>
        </w:rPr>
        <w:t>wydarzenia lokalne,</w:t>
      </w:r>
    </w:p>
    <w:p w14:paraId="774A54D5" w14:textId="77777777" w:rsidR="00234B77" w:rsidRPr="00234B77" w:rsidRDefault="00234B77" w:rsidP="00234B77">
      <w:pPr>
        <w:numPr>
          <w:ilvl w:val="0"/>
          <w:numId w:val="3"/>
        </w:numPr>
        <w:jc w:val="both"/>
        <w:rPr>
          <w:sz w:val="24"/>
          <w:szCs w:val="24"/>
        </w:rPr>
      </w:pPr>
      <w:r w:rsidRPr="00234B77">
        <w:rPr>
          <w:sz w:val="24"/>
          <w:szCs w:val="24"/>
        </w:rPr>
        <w:t>aktywności społeczne,</w:t>
      </w:r>
    </w:p>
    <w:p w14:paraId="79A5756C" w14:textId="77777777" w:rsidR="00234B77" w:rsidRPr="00234B77" w:rsidRDefault="00234B77" w:rsidP="00234B77">
      <w:pPr>
        <w:numPr>
          <w:ilvl w:val="0"/>
          <w:numId w:val="3"/>
        </w:numPr>
        <w:jc w:val="both"/>
        <w:rPr>
          <w:sz w:val="24"/>
          <w:szCs w:val="24"/>
        </w:rPr>
      </w:pPr>
      <w:r w:rsidRPr="00234B77">
        <w:rPr>
          <w:sz w:val="24"/>
          <w:szCs w:val="24"/>
        </w:rPr>
        <w:t>tworzenie przestrzeni spotkań jeszcze przed zakończeniem całego projektu.</w:t>
      </w:r>
    </w:p>
    <w:p w14:paraId="58ED8B16" w14:textId="40F630B1" w:rsidR="00234B77" w:rsidRPr="00234B77" w:rsidRDefault="00234B77" w:rsidP="00234B77">
      <w:pPr>
        <w:jc w:val="both"/>
        <w:rPr>
          <w:sz w:val="24"/>
          <w:szCs w:val="24"/>
        </w:rPr>
      </w:pPr>
      <w:r w:rsidRPr="00234B77">
        <w:rPr>
          <w:sz w:val="24"/>
          <w:szCs w:val="24"/>
        </w:rPr>
        <w:t>Przykładem takiego podejścia jest rozwijana na Wildzie STREFA Nowy Cegielski – przestrzeń wydarzeń i spotkań dla mieszkańców dzielnicy, która ma integrować lokalną społeczność i ożywiać okolicę już na etapie realizacji inwestycji.</w:t>
      </w:r>
      <w:r w:rsidRPr="00234B77">
        <w:rPr>
          <w:sz w:val="24"/>
          <w:szCs w:val="24"/>
        </w:rPr>
        <w:t xml:space="preserve"> </w:t>
      </w:r>
      <w:r w:rsidRPr="00234B77">
        <w:rPr>
          <w:sz w:val="24"/>
          <w:szCs w:val="24"/>
        </w:rPr>
        <w:t>Jak zauważa Zuzanna Należyta:</w:t>
      </w:r>
      <w:r>
        <w:rPr>
          <w:sz w:val="24"/>
          <w:szCs w:val="24"/>
        </w:rPr>
        <w:t xml:space="preserve"> </w:t>
      </w:r>
      <w:r w:rsidRPr="00234B77">
        <w:rPr>
          <w:sz w:val="24"/>
          <w:szCs w:val="24"/>
        </w:rPr>
        <w:t>„Takie inicjatywy sprawiają, że nowe miejsce nie czeka kilku lat na rozruch, ale zaczyna funkcjonować jako część miasta od pierwszego etapu. To element, który realnie wpływa na odbiór inwestycji i jej atrakcyjność – zarówno dla kupujących, jak i przyszłych mieszkańców.”</w:t>
      </w:r>
    </w:p>
    <w:p w14:paraId="357B308E" w14:textId="77777777" w:rsidR="00234B77" w:rsidRPr="00234B77" w:rsidRDefault="00234B77" w:rsidP="00234B77">
      <w:pPr>
        <w:jc w:val="both"/>
        <w:rPr>
          <w:b/>
          <w:bCs/>
          <w:sz w:val="24"/>
          <w:szCs w:val="24"/>
        </w:rPr>
      </w:pPr>
      <w:r w:rsidRPr="00234B77">
        <w:rPr>
          <w:b/>
          <w:bCs/>
          <w:sz w:val="24"/>
          <w:szCs w:val="24"/>
        </w:rPr>
        <w:t>Nowe inwestycje zmieniają dzielnice – przykłady z Polski i Europy</w:t>
      </w:r>
    </w:p>
    <w:p w14:paraId="520285CF" w14:textId="77777777" w:rsidR="00234B77" w:rsidRPr="00234B77" w:rsidRDefault="00234B77" w:rsidP="00234B77">
      <w:pPr>
        <w:jc w:val="both"/>
        <w:rPr>
          <w:sz w:val="24"/>
          <w:szCs w:val="24"/>
        </w:rPr>
      </w:pPr>
      <w:r w:rsidRPr="00234B77">
        <w:rPr>
          <w:sz w:val="24"/>
          <w:szCs w:val="24"/>
        </w:rPr>
        <w:t>Proces przekształcania istniejących części miast nie dotyczy wyłącznie Poznania. Podobne zjawiska obserwujemy w wielu dużych ośrodkach – zarówno w Polsce, jak i za granicą – gdzie nowe inwestycje powstają na terenach o wcześniejszym przeznaczeniu przemysłowym lub usługowym.</w:t>
      </w:r>
    </w:p>
    <w:p w14:paraId="45D44851" w14:textId="77777777" w:rsidR="00234B77" w:rsidRPr="00234B77" w:rsidRDefault="00234B77" w:rsidP="00234B77">
      <w:pPr>
        <w:jc w:val="both"/>
        <w:rPr>
          <w:sz w:val="24"/>
          <w:szCs w:val="24"/>
        </w:rPr>
      </w:pPr>
      <w:r w:rsidRPr="00234B77">
        <w:rPr>
          <w:sz w:val="24"/>
          <w:szCs w:val="24"/>
        </w:rPr>
        <w:t xml:space="preserve">W Warszawie przykładem może być rewitalizacja Pragi czy rozwój terenów po dawnych zakładach przemysłowych na Mokotowie. W Łodzi podobną rolę odegrały inwestycje wokół dawnych fabryk, które dziś pełnią funkcje mieszkaniowe, usługowe i kulturalne. We </w:t>
      </w:r>
      <w:r w:rsidRPr="00234B77">
        <w:rPr>
          <w:sz w:val="24"/>
          <w:szCs w:val="24"/>
        </w:rPr>
        <w:lastRenderedPageBreak/>
        <w:t>Wrocławiu nowe projekty coraz częściej pojawiają się w centralnych częściach miasta, wykorzystując istniejącą infrastrukturę i zabudowę, zamiast budować nowe dzielnice od zera.</w:t>
      </w:r>
    </w:p>
    <w:p w14:paraId="7BE71766" w14:textId="2365F239" w:rsidR="00234B77" w:rsidRPr="00234B77" w:rsidRDefault="00234B77" w:rsidP="00234B77">
      <w:pPr>
        <w:jc w:val="both"/>
        <w:rPr>
          <w:sz w:val="24"/>
          <w:szCs w:val="24"/>
        </w:rPr>
      </w:pPr>
      <w:r w:rsidRPr="00234B77">
        <w:rPr>
          <w:sz w:val="24"/>
          <w:szCs w:val="24"/>
        </w:rPr>
        <w:t xml:space="preserve">Ten sam kierunek widoczny jest także w Europie. W Hamburgu powstająca na terenach portowych dzielnica </w:t>
      </w:r>
      <w:proofErr w:type="spellStart"/>
      <w:r w:rsidRPr="00234B77">
        <w:rPr>
          <w:sz w:val="24"/>
          <w:szCs w:val="24"/>
        </w:rPr>
        <w:t>HafenCity</w:t>
      </w:r>
      <w:proofErr w:type="spellEnd"/>
      <w:r w:rsidRPr="00234B77">
        <w:rPr>
          <w:sz w:val="24"/>
          <w:szCs w:val="24"/>
        </w:rPr>
        <w:t xml:space="preserve"> to jeden z największych projektów rewitalizacyjnych w Europie – obszar dawnych magazynów i infrastruktury portowej przekształcany jest w nową część miasta z funkcjami mieszkaniowymi, biurowymi i kulturalnymi . W Londynie z kolei obszar </w:t>
      </w:r>
      <w:proofErr w:type="spellStart"/>
      <w:r w:rsidRPr="00234B77">
        <w:rPr>
          <w:sz w:val="24"/>
          <w:szCs w:val="24"/>
        </w:rPr>
        <w:t>Docklands</w:t>
      </w:r>
      <w:proofErr w:type="spellEnd"/>
      <w:r w:rsidRPr="00234B77">
        <w:rPr>
          <w:sz w:val="24"/>
          <w:szCs w:val="24"/>
        </w:rPr>
        <w:t xml:space="preserve"> został przekształcony z podupadłej strefy przemysłowej w jedno z głównych centrów biznesowych miasta . Podobne procesy zachodzą m.in. w Barcelonie (dzielnica </w:t>
      </w:r>
      <w:proofErr w:type="spellStart"/>
      <w:r w:rsidRPr="00234B77">
        <w:rPr>
          <w:sz w:val="24"/>
          <w:szCs w:val="24"/>
        </w:rPr>
        <w:t>Poblenou</w:t>
      </w:r>
      <w:proofErr w:type="spellEnd"/>
      <w:r w:rsidRPr="00234B77">
        <w:rPr>
          <w:sz w:val="24"/>
          <w:szCs w:val="24"/>
        </w:rPr>
        <w:t>) czy Rotterdamie i Lizbonie, gdzie dawne tereny portowe zyskują nowe funkcje miejskie</w:t>
      </w:r>
      <w:r w:rsidR="00563333">
        <w:rPr>
          <w:sz w:val="24"/>
          <w:szCs w:val="24"/>
        </w:rPr>
        <w:t>.</w:t>
      </w:r>
    </w:p>
    <w:p w14:paraId="6B79AB4C" w14:textId="77777777" w:rsidR="00234B77" w:rsidRPr="00234B77" w:rsidRDefault="00234B77" w:rsidP="00234B77">
      <w:pPr>
        <w:jc w:val="both"/>
        <w:rPr>
          <w:sz w:val="24"/>
          <w:szCs w:val="24"/>
        </w:rPr>
      </w:pPr>
      <w:r w:rsidRPr="00234B77">
        <w:rPr>
          <w:sz w:val="24"/>
          <w:szCs w:val="24"/>
        </w:rPr>
        <w:t>Wspólnym mianownikiem tych zmian jest to, że nowe inwestycje nie są już tylko zespołem budynków. Stają się elementem większej transformacji – wpływają na rozwój usług, komunikacji i przestrzeni publicznych. Wraz z nimi pojawiają się nowe miejsca pracy, infrastruktura edukacyjna i handlowa, a także przestrzenie wspólne, które integrują mieszkańców i nadają nowy charakter całym dzielnicom.</w:t>
      </w:r>
    </w:p>
    <w:p w14:paraId="57A05562" w14:textId="77777777" w:rsidR="00234B77" w:rsidRPr="00234B77" w:rsidRDefault="00234B77" w:rsidP="00234B77">
      <w:pPr>
        <w:jc w:val="both"/>
        <w:rPr>
          <w:sz w:val="24"/>
          <w:szCs w:val="24"/>
        </w:rPr>
      </w:pPr>
    </w:p>
    <w:p w14:paraId="126B3C52" w14:textId="77777777" w:rsidR="0082078D" w:rsidRPr="00234B77" w:rsidRDefault="0082078D" w:rsidP="00234B77">
      <w:pPr>
        <w:jc w:val="both"/>
        <w:rPr>
          <w:sz w:val="24"/>
          <w:szCs w:val="24"/>
        </w:rPr>
      </w:pPr>
    </w:p>
    <w:sectPr w:rsidR="0082078D" w:rsidRPr="00234B7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2A48A8"/>
    <w:multiLevelType w:val="multilevel"/>
    <w:tmpl w:val="4FD4D1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0351E30"/>
    <w:multiLevelType w:val="multilevel"/>
    <w:tmpl w:val="AA9CCC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6114093E"/>
    <w:multiLevelType w:val="multilevel"/>
    <w:tmpl w:val="5E74FE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758004FE"/>
    <w:multiLevelType w:val="multilevel"/>
    <w:tmpl w:val="895AC9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854757012">
    <w:abstractNumId w:val="1"/>
  </w:num>
  <w:num w:numId="2" w16cid:durableId="828516337">
    <w:abstractNumId w:val="2"/>
  </w:num>
  <w:num w:numId="3" w16cid:durableId="481580086">
    <w:abstractNumId w:val="0"/>
  </w:num>
  <w:num w:numId="4" w16cid:durableId="112534366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5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4B77"/>
    <w:rsid w:val="00234B77"/>
    <w:rsid w:val="00433AFC"/>
    <w:rsid w:val="00563333"/>
    <w:rsid w:val="0082078D"/>
    <w:rsid w:val="0083470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DEA3DE"/>
  <w15:chartTrackingRefBased/>
  <w15:docId w15:val="{F31B4504-F34E-45F7-95E3-FF8F7ED895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uiPriority w:val="9"/>
    <w:qFormat/>
    <w:rsid w:val="00234B7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234B7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234B77"/>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234B77"/>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234B77"/>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234B77"/>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234B77"/>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234B77"/>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234B77"/>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234B77"/>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234B77"/>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234B77"/>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234B77"/>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234B77"/>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234B77"/>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234B77"/>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234B77"/>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234B77"/>
    <w:rPr>
      <w:rFonts w:eastAsiaTheme="majorEastAsia" w:cstheme="majorBidi"/>
      <w:color w:val="272727" w:themeColor="text1" w:themeTint="D8"/>
    </w:rPr>
  </w:style>
  <w:style w:type="paragraph" w:styleId="Tytu">
    <w:name w:val="Title"/>
    <w:basedOn w:val="Normalny"/>
    <w:next w:val="Normalny"/>
    <w:link w:val="TytuZnak"/>
    <w:uiPriority w:val="10"/>
    <w:qFormat/>
    <w:rsid w:val="00234B7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234B77"/>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234B77"/>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234B77"/>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234B77"/>
    <w:pPr>
      <w:spacing w:before="160"/>
      <w:jc w:val="center"/>
    </w:pPr>
    <w:rPr>
      <w:i/>
      <w:iCs/>
      <w:color w:val="404040" w:themeColor="text1" w:themeTint="BF"/>
    </w:rPr>
  </w:style>
  <w:style w:type="character" w:customStyle="1" w:styleId="CytatZnak">
    <w:name w:val="Cytat Znak"/>
    <w:basedOn w:val="Domylnaczcionkaakapitu"/>
    <w:link w:val="Cytat"/>
    <w:uiPriority w:val="29"/>
    <w:rsid w:val="00234B77"/>
    <w:rPr>
      <w:i/>
      <w:iCs/>
      <w:color w:val="404040" w:themeColor="text1" w:themeTint="BF"/>
    </w:rPr>
  </w:style>
  <w:style w:type="paragraph" w:styleId="Akapitzlist">
    <w:name w:val="List Paragraph"/>
    <w:basedOn w:val="Normalny"/>
    <w:uiPriority w:val="34"/>
    <w:qFormat/>
    <w:rsid w:val="00234B77"/>
    <w:pPr>
      <w:ind w:left="720"/>
      <w:contextualSpacing/>
    </w:pPr>
  </w:style>
  <w:style w:type="character" w:styleId="Wyrnienieintensywne">
    <w:name w:val="Intense Emphasis"/>
    <w:basedOn w:val="Domylnaczcionkaakapitu"/>
    <w:uiPriority w:val="21"/>
    <w:qFormat/>
    <w:rsid w:val="00234B77"/>
    <w:rPr>
      <w:i/>
      <w:iCs/>
      <w:color w:val="0F4761" w:themeColor="accent1" w:themeShade="BF"/>
    </w:rPr>
  </w:style>
  <w:style w:type="paragraph" w:styleId="Cytatintensywny">
    <w:name w:val="Intense Quote"/>
    <w:basedOn w:val="Normalny"/>
    <w:next w:val="Normalny"/>
    <w:link w:val="CytatintensywnyZnak"/>
    <w:uiPriority w:val="30"/>
    <w:qFormat/>
    <w:rsid w:val="00234B7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234B77"/>
    <w:rPr>
      <w:i/>
      <w:iCs/>
      <w:color w:val="0F4761" w:themeColor="accent1" w:themeShade="BF"/>
    </w:rPr>
  </w:style>
  <w:style w:type="character" w:styleId="Odwoanieintensywne">
    <w:name w:val="Intense Reference"/>
    <w:basedOn w:val="Domylnaczcionkaakapitu"/>
    <w:uiPriority w:val="32"/>
    <w:qFormat/>
    <w:rsid w:val="00234B77"/>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3</Pages>
  <Words>793</Words>
  <Characters>5359</Characters>
  <Application>Microsoft Office Word</Application>
  <DocSecurity>0</DocSecurity>
  <Lines>90</Lines>
  <Paragraphs>33</Paragraphs>
  <ScaleCrop>false</ScaleCrop>
  <Company/>
  <LinksUpToDate>false</LinksUpToDate>
  <CharactersWithSpaces>6119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 Goławska</dc:creator>
  <cp:keywords/>
  <dc:description/>
  <cp:lastModifiedBy>Anna Goławska</cp:lastModifiedBy>
  <cp:revision>3</cp:revision>
  <dcterms:created xsi:type="dcterms:W3CDTF">2026-03-20T04:38:00Z</dcterms:created>
  <dcterms:modified xsi:type="dcterms:W3CDTF">2026-03-20T04:58:00Z</dcterms:modified>
</cp:coreProperties>
</file>