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5877B" w14:textId="77777777" w:rsidR="008306DF" w:rsidRDefault="00000000">
      <w:pPr>
        <w:pStyle w:val="Nagwek1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Nowy rok, nowa kuchnia szyta na miarę: 6 decyzji, które odróżniają projekt </w:t>
      </w:r>
      <w:proofErr w:type="spellStart"/>
      <w:r>
        <w:rPr>
          <w:rFonts w:ascii="Calibri" w:hAnsi="Calibri" w:cs="Calibri"/>
          <w:sz w:val="28"/>
          <w:szCs w:val="28"/>
        </w:rPr>
        <w:t>premium</w:t>
      </w:r>
      <w:proofErr w:type="spellEnd"/>
      <w:r>
        <w:rPr>
          <w:rFonts w:ascii="Calibri" w:hAnsi="Calibri" w:cs="Calibri"/>
          <w:sz w:val="28"/>
          <w:szCs w:val="28"/>
        </w:rPr>
        <w:t xml:space="preserve"> od katalogowego</w:t>
      </w:r>
    </w:p>
    <w:p w14:paraId="41AB6428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Ponad 70% inwestorów indywidualnych deklaruje dziś, że kuchnia jest najważniejszą przestrzenią w domu – ważniejszą niż salon czy sypialnia. To właśnie tutaj toczy się codzienne życie. Odbywają się rozmowy, spotkania, szybkie poranki i długie wieczory. Jednocześnie kuchnia pozostaje jednym z najbardziej wymagających obszarów projektowych: technicznie, funkcjonalnie i logistycznie. Nowy rok sprzyja zmianom, ale w segmencie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coraz rzadziej chodzi o „nową kuchnię” rozumianą jako wymianę zabudowy. Coraz częściej jest to decyzja o stworzeniu przestrzeni, która będzie dopasowana do stylu życia, odporna na zmieniające się trendy i aktualna nie przez jeden sezon, lecz przez lata. </w:t>
      </w:r>
    </w:p>
    <w:p w14:paraId="672E30B7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Projekt zaczyna się od stylu życia, nie od układu szafek</w:t>
      </w:r>
    </w:p>
    <w:p w14:paraId="720FC2AE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Kuchnie katalogowe powstają według jednego schematu: klient wybiera określony zestaw modułów, który następnie „dopasowuje się” do dostępnej przestrzeni. W projekcie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proces przebiega odwrotnie. To </w:t>
      </w:r>
      <w:r>
        <w:rPr>
          <w:rFonts w:ascii="Calibri" w:hAnsi="Calibri" w:cs="Calibri"/>
          <w:b/>
          <w:bCs/>
        </w:rPr>
        <w:t>sposób życia domowników, ich nawyki i potrzeby wyznaczają kierunek projektowy</w:t>
      </w:r>
      <w:r>
        <w:rPr>
          <w:rFonts w:ascii="Calibri" w:hAnsi="Calibri" w:cs="Calibri"/>
        </w:rPr>
        <w:t>.</w:t>
      </w:r>
    </w:p>
    <w:p w14:paraId="61AC841F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>Inaczej projektuje się kuchnię dla osoby, która gotuje codziennie i traktuje ją jak centrum operacyjne domu, a inaczej dla kogoś, kto korzysta z niej okazjonalnie, ale oczekuje efektownej, reprezentacyjnej przestrzeni. Różnice te nie zawsze są widoczne na pierwszy rzut oka, ale decydują o tym, czy kuchnia będzie intuicyjna i komfortowa, czy jedynie atrakcyjna wizualnie.</w:t>
      </w:r>
    </w:p>
    <w:p w14:paraId="32557D4B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zaczyna się więc od rozmowy: o rytmie dnia, sposobie spędzania czasu, liczbie domowników i ich przyzwyczajeniach. Dopiero na tej podstawie buduje się układ funkcjonalny, a nie odwrotnie.</w:t>
      </w:r>
    </w:p>
    <w:p w14:paraId="14B46C88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Technologia, której nie widać</w:t>
      </w:r>
    </w:p>
    <w:p w14:paraId="68B45F6A" w14:textId="7AD76452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Nowoczesna 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jest zaawansowana technologicznie, ale nie epatuje technologią. Wręcz przeciwnie – najlepsze rozwiązania są niemal niewidoczne. </w:t>
      </w:r>
      <w:r w:rsidR="00F1273D">
        <w:rPr>
          <w:rFonts w:ascii="Calibri" w:hAnsi="Calibri" w:cs="Calibri"/>
        </w:rPr>
        <w:t xml:space="preserve"> </w:t>
      </w:r>
    </w:p>
    <w:p w14:paraId="7F19271B" w14:textId="45B46745" w:rsidR="008306DF" w:rsidRDefault="00000000" w:rsidP="00F1273D">
      <w:pPr>
        <w:pStyle w:val="NormalnyWeb"/>
        <w:spacing w:before="280" w:after="280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– Systemy typu</w:t>
      </w:r>
      <w:r w:rsidR="00F1273D">
        <w:rPr>
          <w:rFonts w:ascii="Calibri" w:hAnsi="Calibri" w:cs="Calibri"/>
        </w:rPr>
        <w:t xml:space="preserve"> </w:t>
      </w:r>
      <w:r w:rsidRPr="00F1273D">
        <w:rPr>
          <w:rStyle w:val="Mocnewyrnione"/>
          <w:rFonts w:ascii="Calibri" w:hAnsi="Calibri"/>
        </w:rPr>
        <w:t xml:space="preserve">smart </w:t>
      </w:r>
      <w:proofErr w:type="spellStart"/>
      <w:r w:rsidRPr="00F1273D">
        <w:rPr>
          <w:rStyle w:val="Mocnewyrnione"/>
          <w:rFonts w:ascii="Calibri" w:hAnsi="Calibri"/>
        </w:rPr>
        <w:t>home</w:t>
      </w:r>
      <w:proofErr w:type="spellEnd"/>
      <w:r w:rsidRPr="00F1273D">
        <w:rPr>
          <w:rFonts w:ascii="Calibri" w:hAnsi="Calibri"/>
        </w:rPr>
        <w:t xml:space="preserve"> (inteligentny</w:t>
      </w:r>
      <w:r>
        <w:rPr>
          <w:rFonts w:ascii="Calibri" w:hAnsi="Calibri"/>
        </w:rPr>
        <w:t xml:space="preserve"> dom) czyli  sieci połączonych urządzeń, które komunikują się ze sobą i mogą być zarządzane zdalnie za pomocą aplikacji, głosu lub automatycznych scenariuszy, nowoczesne akcesoria i rozwiązania funkcjonalne </w:t>
      </w:r>
      <w:r>
        <w:rPr>
          <w:rFonts w:ascii="Calibri" w:eastAsiaTheme="minorHAnsi" w:hAnsi="Calibri" w:cstheme="minorBidi"/>
          <w:lang w:val="pl" w:eastAsia="en-US"/>
        </w:rPr>
        <w:t>oraz</w:t>
      </w:r>
      <w:r>
        <w:rPr>
          <w:rFonts w:ascii="Calibri" w:hAnsi="Calibri"/>
        </w:rPr>
        <w:t xml:space="preserve"> techniczne</w:t>
      </w:r>
      <w:r>
        <w:t xml:space="preserve"> </w:t>
      </w:r>
      <w:r>
        <w:rPr>
          <w:rFonts w:ascii="Calibri" w:hAnsi="Calibri" w:cs="Calibri"/>
        </w:rPr>
        <w:t xml:space="preserve"> mają wspierać użytkownika, a nie przyciągać uwagę. W kuchniach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technologia nie dominuje przestrzeni, stanowi dyskretne tło. Najlepsze rozwiązania to te, których użytkownik niemal nie zauważa – dopóki nie zacznie z nich korzystać. – zdradza Sebastian Zapora, dyrektor zarządzający marki Halupczok.</w:t>
      </w:r>
    </w:p>
    <w:p w14:paraId="02FE275B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kuchniach katalogowych technologia często bywa elementem pokazowym – dodatkiem, który ma robić wrażenie. W projektach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pełni rolę cichego wsparcia codziennych czynności. </w:t>
      </w:r>
      <w:r>
        <w:rPr>
          <w:rFonts w:ascii="Calibri" w:hAnsi="Calibri" w:cs="Calibri"/>
        </w:rPr>
        <w:lastRenderedPageBreak/>
        <w:t xml:space="preserve">To właśnie ta dyskrecja sprawia, że 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pozostaje aktualna mimo zmieniających się trendów technologicznych.</w:t>
      </w:r>
    </w:p>
    <w:p w14:paraId="6B387AF0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Materiały, które starzeją się z klasą</w:t>
      </w:r>
    </w:p>
    <w:p w14:paraId="70D141D2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Jedną z najbardziej wyraźnych różnic między kuchnią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a katalogową jest podejście do materiałów. W segmencie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nie chodzi o to, by powierzchnie wyglądały efektownie wyłącznie w dniu odbioru. Chodzi o to, by </w:t>
      </w:r>
      <w:r>
        <w:rPr>
          <w:rStyle w:val="Pogrubienie"/>
          <w:rFonts w:ascii="Calibri" w:eastAsiaTheme="majorEastAsia" w:hAnsi="Calibri" w:cs="Calibri"/>
          <w:b w:val="0"/>
          <w:bCs w:val="0"/>
        </w:rPr>
        <w:t>dobrze znosiły czas i intensywne użytkowanie</w:t>
      </w:r>
      <w:r>
        <w:rPr>
          <w:rFonts w:ascii="Calibri" w:hAnsi="Calibri" w:cs="Calibri"/>
          <w:b/>
          <w:bCs/>
        </w:rPr>
        <w:t>.</w:t>
      </w:r>
    </w:p>
    <w:p w14:paraId="26D71724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>Naturalne drewno, kamień, wysokiej jakości lakiery czy fornirowane powierzchnie wybierane są nie ze względu na modę, lecz trwałość, możliwość regeneracji i szlachetne starzenie się. Premium oznacza świadomość, że kuchnia będzie żyła razem z domownikami, a drobne ślady użytkowania staną się jej atutem, nie wadą.</w:t>
      </w:r>
    </w:p>
    <w:p w14:paraId="249F91AD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projektach katalogowych często stosuje się materiały, które dobrze prezentują się w salonie sprzedaży, ale szybko tracą swój pierwotny wygląd. </w:t>
      </w:r>
      <w:r>
        <w:rPr>
          <w:rFonts w:ascii="Calibri" w:hAnsi="Calibri" w:cs="Calibri"/>
          <w:b/>
          <w:bCs/>
        </w:rPr>
        <w:t>W kuchni szytej na miarę każdy materiał ma uzasadnienie funkcjonalne, estetyczne i długoterminowe</w:t>
      </w:r>
      <w:r>
        <w:rPr>
          <w:rFonts w:ascii="Calibri" w:hAnsi="Calibri" w:cs="Calibri"/>
        </w:rPr>
        <w:t>.</w:t>
      </w:r>
    </w:p>
    <w:p w14:paraId="18A46C46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Ergonomia szyta na miarę, a nie według narzuconych wymiarów</w:t>
      </w:r>
    </w:p>
    <w:p w14:paraId="76DA6569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Standardowe rozwiązania opierają się na uśrednionych normach: jednej wysokości blatów, powtarzalnych głębokościach szafek i uniwersalnych układach roboczych. 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odrzuca tę logikę.</w:t>
      </w:r>
    </w:p>
    <w:p w14:paraId="33715EE3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Wysokość blatów dopasowuje się do wzrostu użytkowników, wnętrza szuflad projektuje pod konkretne akcesoria i sposób gotowania, a strefy robocze planuje tak, by naturalnie wspierały codzienne czynności. Dzięki temu </w:t>
      </w:r>
      <w:r>
        <w:rPr>
          <w:rFonts w:ascii="Calibri" w:hAnsi="Calibri" w:cs="Calibri"/>
          <w:b/>
          <w:bCs/>
        </w:rPr>
        <w:t>kuchnia staje się przestrzenią intuicyjną, niewymagającą kompromisów</w:t>
      </w:r>
      <w:r>
        <w:rPr>
          <w:rFonts w:ascii="Calibri" w:hAnsi="Calibri" w:cs="Calibri"/>
        </w:rPr>
        <w:t xml:space="preserve">. – podkreśla Sebastian Zapora z Halupczok. –  Co istotne, ergonomii nie da się „dodać” po zakończeniu realizacji. Jest ona wypadkową decyzji projektowych, które muszą zostać podjęte na samym początku procesu. – dodaje. </w:t>
      </w:r>
    </w:p>
    <w:p w14:paraId="1F51FA1E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Współpraca zamiast jednorazowego zakupu</w:t>
      </w:r>
    </w:p>
    <w:p w14:paraId="26F50799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nie jest produktem kupowanym impulsywnie. To proces, w którym klient staje się partnerem w projekcie, a nie odbiorcą gotowego rozwiązania. Kluczowe znaczenie ma tu sposób pracy: konsultacje, wizualizacje, próbki materiałów, transparentny harmonogram i jasno określona odpowiedzialność za każdy etap realizacji.</w:t>
      </w:r>
    </w:p>
    <w:p w14:paraId="213142FD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Klient segmentu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chce wiedzieć, jak będzie wyglądał montaż, jakie są scenariusze na wypadek zmian oraz jak funkcjonuje serwis po zakończeniu inwestycji. Przewidywalność i poczucie bezpieczeństwa są równie ważne jak estetyka.</w:t>
      </w:r>
    </w:p>
    <w:p w14:paraId="79E3A58B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Wartość, która wykracza poza aspekty wizualne</w:t>
      </w:r>
    </w:p>
    <w:p w14:paraId="2D52CA32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to inwestycja długoterminowa. Jej wartość nie kończy się na wyglądzie – obejmuje trwałość rozwiązań, możliwość modyfikacji w przyszłości i odporność na zmieniające się trendy. To dlatego projekty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rzadko podążają za sezonowymi modami. Zamiast tego opierają się na ponadczasowych decyzjach projektowych, które pozwalają na ewolucję wnętrza bez konieczności generalnego remontu.</w:t>
      </w:r>
    </w:p>
    <w:p w14:paraId="5C23AE03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Kuchnia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nie jest projektowana na pokaz. Nie epatuje przepychem, nie jest ostentacyjna. Jej wartość i jakość bronią się same – trwałością, estetyką i niezawodnością widocznymi także po latach codziennego użytkowania.</w:t>
      </w:r>
    </w:p>
    <w:p w14:paraId="5FD79EBA" w14:textId="77777777" w:rsidR="008306DF" w:rsidRDefault="00000000">
      <w:pPr>
        <w:pStyle w:val="Nagwek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Premium to decyzje, nie dodatki</w:t>
      </w:r>
    </w:p>
    <w:p w14:paraId="6DF12627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 xml:space="preserve">Różnica między kuchnią </w:t>
      </w:r>
      <w:proofErr w:type="spellStart"/>
      <w:r>
        <w:rPr>
          <w:rFonts w:ascii="Calibri" w:hAnsi="Calibri" w:cs="Calibri"/>
        </w:rPr>
        <w:t>premium</w:t>
      </w:r>
      <w:proofErr w:type="spellEnd"/>
      <w:r>
        <w:rPr>
          <w:rFonts w:ascii="Calibri" w:hAnsi="Calibri" w:cs="Calibri"/>
        </w:rPr>
        <w:t xml:space="preserve"> a katalogową nie sprowadza się do ceny, liczby szafek czy rodzaju sprzętu. Leży w decyzjach podejmowanych na etapie projektu. W rozwiązanych często niewidocznych na pierwszy rzut oka, ale kluczowych dla codziennego komfortu.</w:t>
      </w:r>
    </w:p>
    <w:p w14:paraId="5751852D" w14:textId="77777777" w:rsidR="008306DF" w:rsidRDefault="00000000">
      <w:pPr>
        <w:pStyle w:val="NormalnyWeb"/>
        <w:spacing w:before="280" w:after="280"/>
        <w:rPr>
          <w:rFonts w:ascii="Calibri" w:hAnsi="Calibri" w:cs="Calibri"/>
        </w:rPr>
      </w:pPr>
      <w:r>
        <w:rPr>
          <w:rFonts w:ascii="Calibri" w:hAnsi="Calibri" w:cs="Calibri"/>
        </w:rPr>
        <w:t>Nowy rok to dobry moment, by spojrzeć na kuchnię nie jak na modny element wnętrza, lecz jak na przestrzeń, która ma realnie wspierać styl życia domowników. To właśnie decyzje podjęte z tą myślą – świadome, przemyślane i długofalowe – przesądzają o tym, czy kuchnia pozostanie aktualna i funkcjonalna przez lata.</w:t>
      </w:r>
      <w:bookmarkStart w:id="0" w:name="citations"/>
      <w:bookmarkEnd w:id="0"/>
    </w:p>
    <w:p w14:paraId="6D6EF579" w14:textId="77777777" w:rsidR="008306DF" w:rsidRDefault="008306DF">
      <w:pPr>
        <w:pStyle w:val="Tekstpodstawowy"/>
        <w:rPr>
          <w:rFonts w:ascii="Calibri" w:hAnsi="Calibri" w:cs="Calibri"/>
          <w:lang w:val="pl-PL"/>
        </w:rPr>
      </w:pPr>
    </w:p>
    <w:sectPr w:rsidR="008306DF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embedSystemFonts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DF"/>
    <w:rsid w:val="008306DF"/>
    <w:rsid w:val="00B92785"/>
    <w:rsid w:val="00F1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1A4B9"/>
  <w15:docId w15:val="{12ABDCBE-85F4-423F-8889-057FC384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/>
    </w:pPr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A10FD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10FD9"/>
    <w:rPr>
      <w:rFonts w:eastAsiaTheme="majorEastAsia" w:cstheme="majorBidi"/>
      <w:color w:val="272727" w:themeColor="text1" w:themeTint="D8"/>
    </w:rPr>
  </w:style>
  <w:style w:type="character" w:customStyle="1" w:styleId="LegendaZnak">
    <w:name w:val="Legenda Znak"/>
    <w:basedOn w:val="Domylnaczcionkaakapitu"/>
    <w:link w:val="Legenda"/>
    <w:qFormat/>
  </w:style>
  <w:style w:type="character" w:customStyle="1" w:styleId="VerbatimChar">
    <w:name w:val="Verbatim Char"/>
    <w:basedOn w:val="LegendaZnak"/>
    <w:link w:val="SourceCode"/>
    <w:qFormat/>
    <w:rPr>
      <w:rFonts w:ascii="Consolas" w:hAnsi="Consolas"/>
      <w:sz w:val="22"/>
    </w:rPr>
  </w:style>
  <w:style w:type="character" w:customStyle="1" w:styleId="SectionNumber">
    <w:name w:val="Section Number"/>
    <w:basedOn w:val="LegendaZnak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LegendaZnak"/>
    <w:qFormat/>
    <w:rPr>
      <w:vertAlign w:val="superscript"/>
    </w:rPr>
  </w:style>
  <w:style w:type="character" w:customStyle="1" w:styleId="czeinternetowe">
    <w:name w:val="Łącze internetowe"/>
    <w:basedOn w:val="LegendaZnak"/>
    <w:rPr>
      <w:color w:val="156082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character" w:styleId="Pogrubienie">
    <w:name w:val="Strong"/>
    <w:basedOn w:val="Domylnaczcionkaakapitu"/>
    <w:uiPriority w:val="22"/>
    <w:qFormat/>
    <w:rsid w:val="00B64955"/>
    <w:rPr>
      <w:b/>
      <w:bCs/>
    </w:rPr>
  </w:style>
  <w:style w:type="character" w:customStyle="1" w:styleId="Wyrnienie">
    <w:name w:val="Wyróżnienie"/>
    <w:basedOn w:val="Domylnaczcionkaakapitu"/>
    <w:uiPriority w:val="20"/>
    <w:qFormat/>
    <w:rsid w:val="00580E3C"/>
    <w:rPr>
      <w:i/>
      <w:iCs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qFormat/>
    <w:pPr>
      <w:spacing w:before="180" w:after="18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link w:val="LegendaZnak"/>
    <w:qFormat/>
    <w:pPr>
      <w:spacing w:after="120"/>
    </w:pPr>
    <w:rPr>
      <w:i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rPr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spacing w:after="200"/>
      <w:jc w:val="center"/>
    </w:pPr>
  </w:style>
  <w:style w:type="paragraph" w:styleId="Data">
    <w:name w:val="Date"/>
    <w:next w:val="Tekstpodstawowy"/>
    <w:qFormat/>
    <w:pPr>
      <w:keepNext/>
      <w:keepLines/>
      <w:spacing w:after="200"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paragraph" w:customStyle="1" w:styleId="DefinitionTerm">
    <w:name w:val="Definition Term"/>
    <w:basedOn w:val="Normalny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  <w:qFormat/>
  </w:style>
  <w:style w:type="paragraph" w:customStyle="1" w:styleId="TableCaption">
    <w:name w:val="Table Caption"/>
    <w:basedOn w:val="Legenda"/>
    <w:qFormat/>
    <w:pPr>
      <w:keepNext/>
    </w:pPr>
  </w:style>
  <w:style w:type="paragraph" w:customStyle="1" w:styleId="ImageCaption">
    <w:name w:val="Image Caption"/>
    <w:basedOn w:val="Legenda"/>
    <w:qFormat/>
  </w:style>
  <w:style w:type="paragraph" w:customStyle="1" w:styleId="Figura">
    <w:name w:val="Figura"/>
    <w:basedOn w:val="Normalny"/>
    <w:qFormat/>
  </w:style>
  <w:style w:type="paragraph" w:customStyle="1" w:styleId="CaptionedFigure">
    <w:name w:val="Captioned Figure"/>
    <w:basedOn w:val="Figura"/>
    <w:qFormat/>
    <w:pPr>
      <w:keepNext/>
    </w:p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</w:pPr>
  </w:style>
  <w:style w:type="paragraph" w:customStyle="1" w:styleId="SourceCode">
    <w:name w:val="Source Code"/>
    <w:basedOn w:val="Normalny"/>
    <w:link w:val="VerbatimChar"/>
    <w:qFormat/>
  </w:style>
  <w:style w:type="paragraph" w:styleId="NormalnyWeb">
    <w:name w:val="Normal (Web)"/>
    <w:basedOn w:val="Normalny"/>
    <w:uiPriority w:val="99"/>
    <w:unhideWhenUsed/>
    <w:qFormat/>
    <w:rsid w:val="00B64955"/>
    <w:pPr>
      <w:spacing w:beforeAutospacing="1" w:afterAutospacing="1"/>
    </w:pPr>
    <w:rPr>
      <w:rFonts w:ascii="Times New Roman" w:eastAsia="Times New Roman" w:hAnsi="Times New Roman" w:cs="Times New Roman"/>
      <w:lang w:val="pl-PL" w:eastAsia="pl-PL"/>
    </w:r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0" w:space="0" w:color="auto"/>
        </w:tcBorders>
        <w:vAlign w:val="bottom"/>
      </w:tcPr>
    </w:tblStylePr>
  </w:style>
  <w:style w:type="paragraph" w:styleId="Poprawka">
    <w:name w:val="Revision"/>
    <w:hidden/>
    <w:rsid w:val="00F1273D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988</Words>
  <Characters>5257</Characters>
  <Application>Microsoft Office Word</Application>
  <DocSecurity>0</DocSecurity>
  <Lines>202</Lines>
  <Paragraphs>96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Anna Goławska</cp:lastModifiedBy>
  <cp:revision>5</cp:revision>
  <dcterms:created xsi:type="dcterms:W3CDTF">2025-12-21T23:03:00Z</dcterms:created>
  <dcterms:modified xsi:type="dcterms:W3CDTF">2026-01-07T11:05:00Z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enerator">
    <vt:lpwstr>ChatGPT Deep Research</vt:lpwstr>
  </property>
</Properties>
</file>