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Pracownik pod wpływem? Ryzyko, które może kosztować firmę miliony</w:t>
      </w:r>
    </w:p>
    <w:p w:rsidR="00000000" w:rsidDel="00000000" w:rsidP="00000000" w:rsidRDefault="00000000" w:rsidRPr="00000000" w14:paraId="00000002">
      <w:pPr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Nietrzeźwy pracownik to nie tylko problem kadrowy, lecz realne ryzyko prawne i finansowe dla pracodawcy. W razie wypadku w pracy, nawet jeśli winę ponosi zatrudniony, konsekwencje mogą objąć również firmę – od sankcji Państwowej Inspekcji Pracy, przez roszczenia odszkodowawcze, po utratę reputacji.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color w:val="000000"/>
          <w:sz w:val="24"/>
          <w:szCs w:val="24"/>
        </w:rPr>
      </w:pPr>
      <w:bookmarkStart w:colFirst="0" w:colLast="0" w:name="_sojwg2nzc2f6" w:id="0"/>
      <w:bookmarkEnd w:id="0"/>
      <w:r w:rsidDel="00000000" w:rsidR="00000000" w:rsidRPr="00000000">
        <w:rPr>
          <w:rFonts w:ascii="Montserrat" w:cs="Montserrat" w:eastAsia="Montserrat" w:hAnsi="Montserrat"/>
          <w:b w:val="1"/>
          <w:color w:val="000000"/>
          <w:sz w:val="24"/>
          <w:szCs w:val="24"/>
          <w:rtl w:val="0"/>
        </w:rPr>
        <w:t xml:space="preserve">Co mówi prawo?</w:t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Zgodnie z art. 17 ustawy o wychowaniu w trzeźwości i przeciwdziałaniu alkoholizmowi, pracodawca ma prawo — a w przypadku stanowisk szczególnie wrażliwych wręcz obowiązek — nie dopuścić do pracy osoby, wobec której istnieje uzasadnione podejrzenie, że znajduje się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po użyciu alkoholu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lub jest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nietrzeźwa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6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Przypomnijmy, że: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stan po użyciu alkoholu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oznacza stężenie od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0,2 do 0,5 promila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</w:t>
        <w:br w:type="textWrapping"/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stan nietrzeźwości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– powyżej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0,5 promila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(art. 46 ust. 3 ustawy).</w:t>
        <w:br w:type="textWrapping"/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Kodeks pracy nakłada natomiast na pracodawcę ogólny obowiązek zapewnienia bezpiecznych i higienicznych warunków pracy (art. 207 § 2 K.p.). W praktyce oznacza to, że przedsiębiorca, który dopuści do pracy osobę pod wpływem alkoholu,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może sam naruszyć przepisy BHP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 a tym samym narazić się na odpowiedzialność administracyjną lub karną.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color w:val="000000"/>
          <w:sz w:val="24"/>
          <w:szCs w:val="24"/>
        </w:rPr>
      </w:pPr>
      <w:bookmarkStart w:colFirst="0" w:colLast="0" w:name="_79lsl1ovn0lr" w:id="1"/>
      <w:bookmarkEnd w:id="1"/>
      <w:r w:rsidDel="00000000" w:rsidR="00000000" w:rsidRPr="00000000">
        <w:rPr>
          <w:rFonts w:ascii="Montserrat" w:cs="Montserrat" w:eastAsia="Montserrat" w:hAnsi="Montserrat"/>
          <w:b w:val="1"/>
          <w:color w:val="000000"/>
          <w:sz w:val="24"/>
          <w:szCs w:val="24"/>
          <w:rtl w:val="0"/>
        </w:rPr>
        <w:t xml:space="preserve">Nowe zasady: prewencyjna kontrola trzeźwości</w:t>
      </w:r>
    </w:p>
    <w:p w:rsidR="00000000" w:rsidDel="00000000" w:rsidP="00000000" w:rsidRDefault="00000000" w:rsidRPr="00000000" w14:paraId="0000000B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Od lutego 2023 roku obowiązuje nowelizacja Kodeksu pracy, która wprost umożliwia pracodawcom przeprowadzanie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prewencyjnych kontroli trzeźwości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– o ile odpowiedni zapis znajdzie się w regulaminie pracy, układzie zbiorowym lub obwieszczeniu.</w:t>
        <w:br w:type="textWrapping"/>
        <w:t xml:space="preserve">Badanie może być wykonane tylko przy użyciu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urządzeń posiadających aktualne świadectwo kalibracji lub wzorcowania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 a jego wyniki muszą być odpowiednio udokumentowane.</w:t>
      </w:r>
    </w:p>
    <w:p w:rsidR="00000000" w:rsidDel="00000000" w:rsidP="00000000" w:rsidRDefault="00000000" w:rsidRPr="00000000" w14:paraId="0000000C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 przypadku braku wewnętrznych procedur, badanie trzeźwości może przeprowadzić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wyłącznie policja lub uprawnione służby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 Pracodawca, który przeprowadzi test samodzielnie, bez podstawy prawnej lub za pomocą niecertyfikowanego sprzętu, naraża się na zarzut naruszenia dóbr osobistych pracownika i błędów proceduralnych.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color w:val="000000"/>
          <w:sz w:val="24"/>
          <w:szCs w:val="24"/>
        </w:rPr>
      </w:pPr>
      <w:bookmarkStart w:colFirst="0" w:colLast="0" w:name="_bqc4p9qslveo" w:id="2"/>
      <w:bookmarkEnd w:id="2"/>
      <w:r w:rsidDel="00000000" w:rsidR="00000000" w:rsidRPr="00000000">
        <w:rPr>
          <w:rFonts w:ascii="Montserrat" w:cs="Montserrat" w:eastAsia="Montserrat" w:hAnsi="Montserrat"/>
          <w:b w:val="1"/>
          <w:color w:val="000000"/>
          <w:sz w:val="24"/>
          <w:szCs w:val="24"/>
          <w:rtl w:val="0"/>
        </w:rPr>
        <w:t xml:space="preserve">Ryzyko i odpowiedzialność po stronie firmy</w:t>
      </w:r>
    </w:p>
    <w:p w:rsidR="00000000" w:rsidDel="00000000" w:rsidP="00000000" w:rsidRDefault="00000000" w:rsidRPr="00000000" w14:paraId="0000000E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 sytuacji wypadku przy pracy, w którym uczestniczył nietrzeźwy pracownik,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odpowiedzialność pracodawcy nie kończy się na sporządzeniu notatki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 Jeśli firma nie posiadała odpowiednich procedur lub zignorowała sygnały o możliwym spożyciu alkoholu, może zostać pociągnięta do współodpowiedzialności cywilnej i karnej.</w:t>
      </w:r>
    </w:p>
    <w:p w:rsidR="00000000" w:rsidDel="00000000" w:rsidP="00000000" w:rsidRDefault="00000000" w:rsidRPr="00000000" w14:paraId="0000000F">
      <w:pPr>
        <w:spacing w:after="240" w:before="240" w:lineRule="auto"/>
        <w:jc w:val="both"/>
        <w:rPr>
          <w:rFonts w:ascii="Montserrat" w:cs="Montserrat" w:eastAsia="Montserrat" w:hAnsi="Montserrat"/>
          <w:i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– </w:t>
      </w:r>
      <w:r w:rsidDel="00000000" w:rsidR="00000000" w:rsidRPr="00000000">
        <w:rPr>
          <w:rFonts w:ascii="Montserrat" w:cs="Montserrat" w:eastAsia="Montserrat" w:hAnsi="Montserrat"/>
          <w:i w:val="1"/>
          <w:sz w:val="24"/>
          <w:szCs w:val="24"/>
          <w:rtl w:val="0"/>
        </w:rPr>
        <w:t xml:space="preserve">Często zakłada się, że to wyłącznie pracownik odpowiada za swoje zachowanie. Tymczasem brak reakcji lub właściwych procedur po stronie pracodawcy może być potraktowany jako zaniedbanie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– tłumaczy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Rafał Kozłowski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 przedstawiciel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Bean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 dystrybutora profesjonalnych alkomatów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AlcoFind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 – </w:t>
      </w:r>
      <w:r w:rsidDel="00000000" w:rsidR="00000000" w:rsidRPr="00000000">
        <w:rPr>
          <w:rFonts w:ascii="Montserrat" w:cs="Montserrat" w:eastAsia="Montserrat" w:hAnsi="Montserrat"/>
          <w:i w:val="1"/>
          <w:sz w:val="24"/>
          <w:szCs w:val="24"/>
          <w:rtl w:val="0"/>
        </w:rPr>
        <w:t xml:space="preserve">Certyfikowany alkomat w zakładzie pracy nie jest narzędziem kontroli, lecz ochrony. Pomaga uniknąć błędnych decyzji i stanowi dowód, że firma działa zgodnie z prawem i w dobrej wierze.</w:t>
      </w:r>
    </w:p>
    <w:p w:rsidR="00000000" w:rsidDel="00000000" w:rsidP="00000000" w:rsidRDefault="00000000" w:rsidRPr="00000000" w14:paraId="00000010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Ryzyka, z którymi mierzy się firma, obejmują: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prawne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– kary nałożone przez PIP, sankcje z Kodeksu karnego (np. art. 220 K.k. – narażenie pracownika na niebezpieczeństwo);</w:t>
        <w:br w:type="textWrapping"/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finansowe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– koszty odszkodowań, postępowań sądowych, wzrost składek ubezpieczeniowych;</w:t>
        <w:br w:type="textWrapping"/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reputacyjne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– utrata wiarygodności wobec kontrahentów i załogi.</w:t>
        <w:br w:type="textWrapping"/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color w:val="000000"/>
          <w:sz w:val="24"/>
          <w:szCs w:val="24"/>
        </w:rPr>
      </w:pPr>
      <w:bookmarkStart w:colFirst="0" w:colLast="0" w:name="_9wjcmixppi27" w:id="3"/>
      <w:bookmarkEnd w:id="3"/>
      <w:r w:rsidDel="00000000" w:rsidR="00000000" w:rsidRPr="00000000">
        <w:rPr>
          <w:rFonts w:ascii="Montserrat" w:cs="Montserrat" w:eastAsia="Montserrat" w:hAnsi="Montserrat"/>
          <w:b w:val="1"/>
          <w:color w:val="000000"/>
          <w:sz w:val="24"/>
          <w:szCs w:val="24"/>
          <w:rtl w:val="0"/>
        </w:rPr>
        <w:t xml:space="preserve">Procedura w praktyce: co zrobić krok po kroku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24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Nie dopuszczaj do pracy – jeśli istnieje uzasadnione podejrzenie, że pracownik jest pod wpływem.</w:t>
        <w:br w:type="textWrapping"/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Zabezpiecz stanowisko – w przypadku operatorów maszyn lub wózków widłowych to obowiązek wynikający z BHP.</w:t>
        <w:br w:type="textWrapping"/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Przeprowadź badanie – wyłącznie przy użyciu certyfikowanego urządzenia lub poprzez wezwanie policji, jeśli firma nie posiada uprawnień.</w:t>
        <w:br w:type="textWrapping"/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Udokumentuj zdarzenie – sporządź protokół, podpisy świadków, wynik testu, oświadczenie pracownika.</w:t>
        <w:br w:type="textWrapping"/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Podejmij działania dyscyplinarne – w zależności od wyniku: upomnienie, kara pieniężna, zawieszenie, a w przypadku stanu nietrzeźwości – rozwiązanie umowy (art. 52 K.p.).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color w:val="000000"/>
          <w:sz w:val="24"/>
          <w:szCs w:val="24"/>
        </w:rPr>
      </w:pPr>
      <w:bookmarkStart w:colFirst="0" w:colLast="0" w:name="_8mr6brsr6ag2" w:id="4"/>
      <w:bookmarkEnd w:id="4"/>
      <w:r w:rsidDel="00000000" w:rsidR="00000000" w:rsidRPr="00000000">
        <w:rPr>
          <w:rFonts w:ascii="Montserrat" w:cs="Montserrat" w:eastAsia="Montserrat" w:hAnsi="Montserrat"/>
          <w:b w:val="1"/>
          <w:color w:val="000000"/>
          <w:sz w:val="24"/>
          <w:szCs w:val="24"/>
          <w:rtl w:val="0"/>
        </w:rPr>
        <w:t xml:space="preserve">Prewencja zamiast reakcji</w:t>
      </w:r>
    </w:p>
    <w:p w:rsidR="00000000" w:rsidDel="00000000" w:rsidP="00000000" w:rsidRDefault="00000000" w:rsidRPr="00000000" w14:paraId="0000001B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Najskuteczniejszą metodą ograniczenia ryzyka jest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wdrożenie prewencyjnych procedur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– zarówno formalnych (regulaminy, szkolenia), jak i technicznych (sprawdzone alkomaty, system raportowania). Firmy coraz częściej korzystają z doradztwa zewnętrznych ekspertów, by ich działania były zgodne z prawem, a jednocześnie efektywne organizacyjnie.</w:t>
      </w:r>
    </w:p>
    <w:p w:rsidR="00000000" w:rsidDel="00000000" w:rsidP="00000000" w:rsidRDefault="00000000" w:rsidRPr="00000000" w14:paraId="0000001C">
      <w:pPr>
        <w:spacing w:after="240" w:before="240" w:lineRule="auto"/>
        <w:jc w:val="both"/>
        <w:rPr>
          <w:rFonts w:ascii="Montserrat" w:cs="Montserrat" w:eastAsia="Montserrat" w:hAnsi="Montserrat"/>
          <w:i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– </w:t>
      </w:r>
      <w:r w:rsidDel="00000000" w:rsidR="00000000" w:rsidRPr="00000000">
        <w:rPr>
          <w:rFonts w:ascii="Montserrat" w:cs="Montserrat" w:eastAsia="Montserrat" w:hAnsi="Montserrat"/>
          <w:i w:val="1"/>
          <w:sz w:val="24"/>
          <w:szCs w:val="24"/>
          <w:rtl w:val="0"/>
        </w:rPr>
        <w:t xml:space="preserve">Dziś nie chodzi o podejrzliwość wobec pracowników, lecz o bezpieczeństwo całego zespołu i minimalizowanie ryzyka prawnego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– mówi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Rafał Kozłowski z Bean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 – </w:t>
      </w:r>
      <w:r w:rsidDel="00000000" w:rsidR="00000000" w:rsidRPr="00000000">
        <w:rPr>
          <w:rFonts w:ascii="Montserrat" w:cs="Montserrat" w:eastAsia="Montserrat" w:hAnsi="Montserrat"/>
          <w:i w:val="1"/>
          <w:sz w:val="24"/>
          <w:szCs w:val="24"/>
          <w:rtl w:val="0"/>
        </w:rPr>
        <w:t xml:space="preserve">Wprowadzenie certyfikowanego systemu kontroli trzeźwości pokazuje, że firma działa odpowiedzialnie i transparentnie – nie przeciwko ludziom, ale dla ich bezpieczeństwa.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color w:val="000000"/>
          <w:sz w:val="24"/>
          <w:szCs w:val="24"/>
        </w:rPr>
      </w:pPr>
      <w:bookmarkStart w:colFirst="0" w:colLast="0" w:name="_ol8llqc474pe" w:id="5"/>
      <w:bookmarkEnd w:id="5"/>
      <w:r w:rsidDel="00000000" w:rsidR="00000000" w:rsidRPr="00000000">
        <w:rPr>
          <w:rFonts w:ascii="Montserrat" w:cs="Montserrat" w:eastAsia="Montserrat" w:hAnsi="Montserrat"/>
          <w:b w:val="1"/>
          <w:color w:val="000000"/>
          <w:sz w:val="24"/>
          <w:szCs w:val="24"/>
          <w:rtl w:val="0"/>
        </w:rPr>
        <w:t xml:space="preserve">Bezpieczna organizacja to świadomy pracodawca</w:t>
      </w:r>
    </w:p>
    <w:p w:rsidR="00000000" w:rsidDel="00000000" w:rsidP="00000000" w:rsidRDefault="00000000" w:rsidRPr="00000000" w14:paraId="0000001E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Z punktu widzenia prawa i zarządzania ryzykiem, brak działania to również działanie.</w:t>
        <w:br w:type="textWrapping"/>
        <w:t xml:space="preserve">Pracodawca, który nie reaguje lub nie ma procedur kontroli trzeźwości, naraża się na konsekwencje, nawet jeśli nie był bezpośrednim sprawcą zdarzenia.</w:t>
      </w:r>
    </w:p>
    <w:p w:rsidR="00000000" w:rsidDel="00000000" w:rsidP="00000000" w:rsidRDefault="00000000" w:rsidRPr="00000000" w14:paraId="0000001F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Wdrażanie polityk trzeźwości, szkolenie kadry kierowniczej i stosowanie certyfikowanych urządzeń to dziś nie przejaw braku zaufania, ale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element profesjonalnego zarządzania bezpieczeństwem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0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Firmy, które potraktują ten temat strategicznie – jako część polityki compliance i ESG – nie tylko ograniczą ryzyko wypadków, lecz także zyskają przewagę konkurencyjną: w oczach pracowników, kontrahentów i inwestorów.</w:t>
      </w:r>
    </w:p>
    <w:p w:rsidR="00000000" w:rsidDel="00000000" w:rsidP="00000000" w:rsidRDefault="00000000" w:rsidRPr="00000000" w14:paraId="00000021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