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xml" PartName="/customXML/item1.xml"/>
  <Override ContentType="application/vnd.openxmlformats-officedocument.wordprocessingml.styles+xml" PartName="/word/styles.xml"/>
  <Override ContentType="application/vnd.openxmlformats-officedocument.wordprocessingml.footnotes+xml" PartName="/word/footnotes.xml"/>
  <Override ContentType="application/vnd.openxmlformats-officedocument.wordprocessingml.fontTable+xml" PartName="/word/fontTable.xml"/>
  <Override ContentType="application/vnd.openxmlformats-package.core-properties+xml" PartName="/docProps/core.xml"/>
  <Override ContentType="application/vnd.openxmlformats-officedocument.theme+xml" PartName="/word/theme/theme1.xml"/>
  <Override ContentType="application/vnd.openxmlformats-officedocument.wordprocessingml.header+xml" PartName="/word/header1.xml"/>
  <Override ContentType="application/vnd.openxmlformats-officedocument.wordprocessingml.settings+xml" PartName="/word/settings.xml"/>
  <Override ContentType="application/vnd.openxmlformats-officedocument.custom-properties+xml" PartName="/docProps/custom.xml"/>
  <Override ContentType="application/vnd.openxmlformats-officedocument.customXmlProperties+xml" PartName="/customXML/itemProps1.xml"/>
  <Override ContentType="application/vnd.openxmlformats-officedocument.wordprocessingml.footer+xml" PartName="/word/footer1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custom-properties" Target="docProps/custom.xml"/><Relationship Id="rId2" Type="http://schemas.openxmlformats.org/package/2006/relationships/metadata/core-properties" Target="docProps/core.xml"/><Relationship Id="rId3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both"/>
        <w:rPr>
          <w:rFonts w:ascii="Tahoma" w:cs="Tahoma" w:eastAsia="Tahoma" w:hAnsi="Tahoma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2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both"/>
        <w:rPr>
          <w:rFonts w:ascii="Tahoma" w:cs="Tahoma" w:eastAsia="Tahoma" w:hAnsi="Tahoma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both"/>
        <w:rPr>
          <w:rFonts w:ascii="Tahoma" w:cs="Tahoma" w:eastAsia="Tahoma" w:hAnsi="Tahoma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both"/>
        <w:rPr>
          <w:rFonts w:ascii="Tahoma" w:cs="Tahoma" w:eastAsia="Tahoma" w:hAnsi="Tahoma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both"/>
        <w:rPr>
          <w:rFonts w:ascii="Tahoma" w:cs="Tahoma" w:eastAsia="Tahoma" w:hAnsi="Tahoma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6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right"/>
        <w:rPr>
          <w:rFonts w:ascii="Tahoma" w:cs="Tahoma" w:eastAsia="Tahoma" w:hAnsi="Tahoma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Tahoma" w:cs="Tahoma" w:eastAsia="Tahoma" w:hAnsi="Tahoma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Sierpień 2023 r. </w:t>
      </w:r>
    </w:p>
    <w:p w:rsidR="00000000" w:rsidDel="00000000" w:rsidP="00000000" w:rsidRDefault="00000000" w:rsidRPr="00000000" w14:paraId="00000007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40" w:before="240" w:line="276" w:lineRule="auto"/>
        <w:ind w:left="0" w:right="0" w:firstLine="0"/>
        <w:jc w:val="left"/>
        <w:rPr>
          <w:rFonts w:ascii="Tahoma" w:cs="Tahoma" w:eastAsia="Tahoma" w:hAnsi="Tahoma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Tahoma" w:cs="Tahoma" w:eastAsia="Tahoma" w:hAnsi="Tahoma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Informacja prasowa</w:t>
      </w:r>
    </w:p>
    <w:p w:rsidR="00000000" w:rsidDel="00000000" w:rsidP="00000000" w:rsidRDefault="00000000" w:rsidRPr="00000000" w14:paraId="00000008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both"/>
        <w:rPr>
          <w:rFonts w:ascii="Tahoma" w:cs="Tahoma" w:eastAsia="Tahoma" w:hAnsi="Tahoma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9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40" w:before="240" w:line="276" w:lineRule="auto"/>
        <w:ind w:left="0" w:right="0" w:firstLine="0"/>
        <w:jc w:val="center"/>
        <w:rPr>
          <w:rFonts w:ascii="Tahoma" w:cs="Tahoma" w:eastAsia="Tahoma" w:hAnsi="Tahoma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ahoma" w:cs="Tahoma" w:eastAsia="Tahoma" w:hAnsi="Tahoma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Prowadzisz firmę z branży spożywczo-przemysłowej? Sprawdź, w jaki sposób możesz zaoszczędzić na energii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A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both"/>
        <w:rPr>
          <w:rFonts w:ascii="Tahoma" w:cs="Tahoma" w:eastAsia="Tahoma" w:hAnsi="Tahoma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ahoma" w:cs="Tahoma" w:eastAsia="Tahoma" w:hAnsi="Tahoma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Aż 49,2 proc. małych i średnich przedsiębiorstw jest zdania, że największe wyzwanie w prowadzeniu działalności gospodarczej stanowią rosnące koszty energii i gazu</w:t>
      </w:r>
      <w:r w:rsidDel="00000000" w:rsidR="00000000" w:rsidRPr="00000000">
        <w:rPr>
          <w:rFonts w:ascii="Tahoma" w:cs="Tahoma" w:eastAsia="Tahoma" w:hAnsi="Tahoma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superscript"/>
        </w:rPr>
        <w:footnoteReference w:customMarkFollows="0" w:id="0"/>
      </w:r>
      <w:r w:rsidDel="00000000" w:rsidR="00000000" w:rsidRPr="00000000">
        <w:rPr>
          <w:rFonts w:ascii="Tahoma" w:cs="Tahoma" w:eastAsia="Tahoma" w:hAnsi="Tahoma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. Z podobnym kłopotem borykają się firmy z branży spożywczo-przemysłowej, która jest energochłonna. Aby ciąć koszty, przedsiębiorstwa poszukują nowych rozwiązań. Coraz więcej firm wybiera alternatywne źródła energii takie, jak fotowoltaika czy pompy ciepła. W jaki sposób można zaoszczędzić? I czy OZE jest rzeczywiście </w:t>
      </w:r>
      <w:r w:rsidDel="00000000" w:rsidR="00000000" w:rsidRPr="00000000">
        <w:rPr>
          <w:rFonts w:ascii="Tahoma" w:cs="Tahoma" w:eastAsia="Tahoma" w:hAnsi="Tahoma"/>
          <w:b w:val="1"/>
          <w:sz w:val="24"/>
          <w:szCs w:val="24"/>
          <w:rtl w:val="0"/>
        </w:rPr>
        <w:t xml:space="preserve">opłacalne</w:t>
      </w:r>
      <w:r w:rsidDel="00000000" w:rsidR="00000000" w:rsidRPr="00000000">
        <w:rPr>
          <w:rFonts w:ascii="Tahoma" w:cs="Tahoma" w:eastAsia="Tahoma" w:hAnsi="Tahoma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?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both"/>
        <w:rPr>
          <w:rFonts w:ascii="Tahoma" w:cs="Tahoma" w:eastAsia="Tahoma" w:hAnsi="Tahoma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C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both"/>
        <w:rPr>
          <w:rFonts w:ascii="Tahoma" w:cs="Tahoma" w:eastAsia="Tahoma" w:hAnsi="Tahoma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Tahoma" w:cs="Tahoma" w:eastAsia="Tahoma" w:hAnsi="Tahoma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Z najnowszych danych rynkowych wynika, że to właśnie koszty energii i gazu są najbardziej uciążliwe dla polskich przedsiębiorstw. Te na kolejnych miejscach firmy wskazały podwyżki składek ZUS (29,6 proc.), a także wzrost płacy minimalnej (25,6 proc.). A jakie są największe problemy, które występują wśród przedsiębiorstw w branży spożywczo-przemysłowej? To przede wszystkim hamujący popyt krajowy, nasilające się ograniczenia surowcowe, a także niekorzystne dla przetwórców relacje cen. Kolejnym wyzwaniem są drożejące surowce. Bank of America prognozuje, że o 25 proc. może zdrożeć aluminium, o 13 proc. ropa, a gaz o 41 proc. Mając na uwadze koszty, polskie firmy poszukują rozwiązań, jak je redukować. Z pomocą przychodzą odnawialne źródła energii. </w:t>
      </w:r>
    </w:p>
    <w:p w:rsidR="00000000" w:rsidDel="00000000" w:rsidP="00000000" w:rsidRDefault="00000000" w:rsidRPr="00000000" w14:paraId="0000000D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both"/>
        <w:rPr>
          <w:rFonts w:ascii="Tahoma" w:cs="Tahoma" w:eastAsia="Tahoma" w:hAnsi="Tahoma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E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60" w:before="0" w:line="276" w:lineRule="auto"/>
        <w:ind w:left="0" w:right="0" w:firstLine="0"/>
        <w:jc w:val="left"/>
        <w:rPr>
          <w:rFonts w:ascii="Tahoma" w:cs="Tahoma" w:eastAsia="Tahoma" w:hAnsi="Tahoma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Tahoma" w:cs="Tahoma" w:eastAsia="Tahoma" w:hAnsi="Tahoma"/>
          <w:b w:val="1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Jak zaoszczędzić na energii? Postaw na farmę fotowoltaiczną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F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60" w:before="0" w:line="276" w:lineRule="auto"/>
        <w:ind w:left="0" w:right="0" w:firstLine="0"/>
        <w:jc w:val="left"/>
        <w:rPr>
          <w:rFonts w:ascii="Tahoma" w:cs="Tahoma" w:eastAsia="Tahoma" w:hAnsi="Tahoma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Tahoma" w:cs="Tahoma" w:eastAsia="Tahoma" w:hAnsi="Tahoma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W naszym kraju funkcjonują obecnie 3404 farmy fotowoltaiczne o łącznej mocy 3356 MW – wynika z najnowszego raportu Instytutu Energii Odnawialnej „Rynek fotowoltaiki w Polsce”.  W 2022 roku odnotowano w tym sektorze rekord przyrostu mocy fotowoltaicznych wynoszący 2,04 GW, w tym 0,347 GW w dużych farmach. Co to oznacza? Iż firmy coraz chętniej inwestują w ekologiczne rozwiązania. </w:t>
      </w:r>
    </w:p>
    <w:p w:rsidR="00000000" w:rsidDel="00000000" w:rsidP="00000000" w:rsidRDefault="00000000" w:rsidRPr="00000000" w14:paraId="00000010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60" w:before="0" w:line="276" w:lineRule="auto"/>
        <w:ind w:left="0" w:right="0" w:firstLine="0"/>
        <w:jc w:val="left"/>
        <w:rPr>
          <w:rFonts w:ascii="Tahoma" w:cs="Tahoma" w:eastAsia="Tahoma" w:hAnsi="Tahoma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Tahoma" w:cs="Tahoma" w:eastAsia="Tahoma" w:hAnsi="Tahoma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 –</w:t>
      </w:r>
      <w:r w:rsidDel="00000000" w:rsidR="00000000" w:rsidRPr="00000000">
        <w:rPr>
          <w:rFonts w:ascii="Tahoma" w:cs="Tahoma" w:eastAsia="Tahoma" w:hAnsi="Tahoma"/>
          <w:b w:val="0"/>
          <w:i w:val="1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 Jeden ze sposobów wpływu na cenę energii to wybudowanie własnej farmy fotowoltaicznej</w:t>
      </w:r>
      <w:r w:rsidDel="00000000" w:rsidR="00000000" w:rsidRPr="00000000">
        <w:rPr>
          <w:rFonts w:ascii="Tahoma" w:cs="Tahoma" w:eastAsia="Tahoma" w:hAnsi="Tahoma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 – mówi Adrian Wachelka z firmy INERGIS. – </w:t>
      </w:r>
      <w:r w:rsidDel="00000000" w:rsidR="00000000" w:rsidRPr="00000000">
        <w:rPr>
          <w:rFonts w:ascii="Tahoma" w:cs="Tahoma" w:eastAsia="Tahoma" w:hAnsi="Tahoma"/>
          <w:b w:val="0"/>
          <w:i w:val="1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Do zadania można podejść w różny sposób. Firmy zakładają fotowoltaikę na dachu zakładu albo na gruncie. Do tego dobudowują magazyn energii. To rozwiązanie pomaga im zaoszczędzić pieniądze i ciąć koszty a jednocześnie budować pozytywny, zielony wizerunek ich produktów. Przedsiębiorstwa mogą także wybudować farmę fotowoltaiczną i sprzedawać energię dla samych siebie w oparciu o umowę PPA, czyli Power Purchase Agreement. To umowa między dwiema stronami, zazwyczaj między producentem energii elektrycznej a klientem. Dokument szczegółowo określa wszystkie warunki działalności związanej z energią elektryczną: ilość energii elektrycznej do dostarczenia, wynegocjowane ceny, sposób księgowania i kary za nieprzestrzeganie </w:t>
      </w:r>
      <w:r w:rsidDel="00000000" w:rsidR="00000000" w:rsidRPr="00000000">
        <w:rPr>
          <w:rFonts w:ascii="Tahoma" w:cs="Tahoma" w:eastAsia="Tahoma" w:hAnsi="Tahoma"/>
          <w:i w:val="1"/>
          <w:sz w:val="22"/>
          <w:szCs w:val="22"/>
          <w:rtl w:val="0"/>
        </w:rPr>
        <w:t xml:space="preserve">umowy</w:t>
      </w:r>
      <w:r w:rsidDel="00000000" w:rsidR="00000000" w:rsidRPr="00000000">
        <w:rPr>
          <w:rFonts w:ascii="Tahoma" w:cs="Tahoma" w:eastAsia="Tahoma" w:hAnsi="Tahoma"/>
          <w:b w:val="0"/>
          <w:i w:val="1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. 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1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60" w:before="0" w:line="276" w:lineRule="auto"/>
        <w:ind w:left="0" w:right="0" w:firstLine="0"/>
        <w:jc w:val="both"/>
        <w:rPr>
          <w:rFonts w:ascii="Tahoma" w:cs="Tahoma" w:eastAsia="Tahoma" w:hAnsi="Tahoma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Tahoma" w:cs="Tahoma" w:eastAsia="Tahoma" w:hAnsi="Tahoma"/>
          <w:b w:val="1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A co jeśli nie mamy wystarczającej powierzchni na budowę farmy fotowoltaicznej?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2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80" w:before="280" w:line="276" w:lineRule="auto"/>
        <w:ind w:left="0" w:right="0" w:firstLine="0"/>
        <w:jc w:val="both"/>
        <w:rPr>
          <w:rFonts w:ascii="Tahoma" w:cs="Tahoma" w:eastAsia="Tahoma" w:hAnsi="Tahoma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Tahoma" w:cs="Tahoma" w:eastAsia="Tahoma" w:hAnsi="Tahoma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W przypadku, gdy firma potrzebuje znacznych ilości energii, na przykład na poziomie 1200 megawat</w:t>
      </w:r>
      <w:r w:rsidDel="00000000" w:rsidR="00000000" w:rsidRPr="00000000">
        <w:rPr>
          <w:rFonts w:ascii="Tahoma" w:cs="Tahoma" w:eastAsia="Tahoma" w:hAnsi="Tahoma"/>
          <w:sz w:val="22"/>
          <w:szCs w:val="22"/>
          <w:rtl w:val="0"/>
        </w:rPr>
        <w:t xml:space="preserve">o</w:t>
      </w:r>
      <w:r w:rsidDel="00000000" w:rsidR="00000000" w:rsidRPr="00000000">
        <w:rPr>
          <w:rFonts w:ascii="Tahoma" w:cs="Tahoma" w:eastAsia="Tahoma" w:hAnsi="Tahoma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godzin rocznie lub </w:t>
      </w:r>
      <w:r w:rsidDel="00000000" w:rsidR="00000000" w:rsidRPr="00000000">
        <w:rPr>
          <w:rFonts w:ascii="Tahoma" w:cs="Tahoma" w:eastAsia="Tahoma" w:hAnsi="Tahoma"/>
          <w:sz w:val="22"/>
          <w:szCs w:val="22"/>
          <w:rtl w:val="0"/>
        </w:rPr>
        <w:t xml:space="preserve">więcej,</w:t>
      </w:r>
      <w:r w:rsidDel="00000000" w:rsidR="00000000" w:rsidRPr="00000000">
        <w:rPr>
          <w:rFonts w:ascii="Tahoma" w:cs="Tahoma" w:eastAsia="Tahoma" w:hAnsi="Tahoma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 wówczas powierzchnia dachu lub gruntu potrzebna do montażu instalacji fotowoltaicznej o odpowiedniej mocy powinna wynosić co najmniej 1,6 hektara lub 1600 metrów kwadratowych. Z reguły w polskich warunkach pogodowych farma o mocy zainstalowanej 1 MW produkuje rocznie 1 200 MWh energii elektrycznej.</w:t>
      </w:r>
    </w:p>
    <w:p w:rsidR="00000000" w:rsidDel="00000000" w:rsidP="00000000" w:rsidRDefault="00000000" w:rsidRPr="00000000" w14:paraId="00000013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80" w:before="280" w:line="276" w:lineRule="auto"/>
        <w:ind w:left="0" w:right="0" w:firstLine="0"/>
        <w:jc w:val="both"/>
        <w:rPr>
          <w:rFonts w:ascii="Tahoma" w:cs="Tahoma" w:eastAsia="Tahoma" w:hAnsi="Tahoma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Tahoma" w:cs="Tahoma" w:eastAsia="Tahoma" w:hAnsi="Tahoma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Nie każde przedsiębiorstwo ma taką powierzchnię pod zabudowę, dlatego można skorzystać z nowych zmian w przepisach. </w:t>
      </w:r>
    </w:p>
    <w:p w:rsidR="00000000" w:rsidDel="00000000" w:rsidP="00000000" w:rsidRDefault="00000000" w:rsidRPr="00000000" w14:paraId="00000014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80" w:before="280" w:line="276" w:lineRule="auto"/>
        <w:ind w:left="0" w:right="0" w:firstLine="0"/>
        <w:jc w:val="both"/>
        <w:rPr>
          <w:rFonts w:ascii="Tahoma" w:cs="Tahoma" w:eastAsia="Tahoma" w:hAnsi="Tahoma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Tahoma" w:cs="Tahoma" w:eastAsia="Tahoma" w:hAnsi="Tahoma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  – </w:t>
      </w:r>
      <w:r w:rsidDel="00000000" w:rsidR="00000000" w:rsidRPr="00000000">
        <w:rPr>
          <w:rFonts w:ascii="Tahoma" w:cs="Tahoma" w:eastAsia="Tahoma" w:hAnsi="Tahoma"/>
          <w:b w:val="0"/>
          <w:i w:val="1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D</w:t>
      </w:r>
      <w:r w:rsidDel="00000000" w:rsidR="00000000" w:rsidRPr="00000000">
        <w:rPr>
          <w:rFonts w:ascii="Tahoma" w:cs="Tahoma" w:eastAsia="Tahoma" w:hAnsi="Tahoma"/>
          <w:i w:val="1"/>
          <w:sz w:val="22"/>
          <w:szCs w:val="22"/>
          <w:rtl w:val="0"/>
        </w:rPr>
        <w:t xml:space="preserve">o</w:t>
      </w:r>
      <w:r w:rsidDel="00000000" w:rsidR="00000000" w:rsidRPr="00000000">
        <w:rPr>
          <w:rFonts w:ascii="Tahoma" w:cs="Tahoma" w:eastAsia="Tahoma" w:hAnsi="Tahoma"/>
          <w:b w:val="0"/>
          <w:i w:val="1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 realizacji takiego zadania można kupić gotowy projekt farmy fotowoltaicznej o mocy 1 MW </w:t>
      </w:r>
      <w:r w:rsidDel="00000000" w:rsidR="00000000" w:rsidRPr="00000000">
        <w:rPr>
          <w:rFonts w:ascii="Tahoma" w:cs="Tahoma" w:eastAsia="Tahoma" w:hAnsi="Tahoma"/>
          <w:i w:val="1"/>
          <w:sz w:val="22"/>
          <w:szCs w:val="22"/>
          <w:rtl w:val="0"/>
        </w:rPr>
        <w:t xml:space="preserve"> lub więcej</w:t>
      </w:r>
      <w:r w:rsidDel="00000000" w:rsidR="00000000" w:rsidRPr="00000000">
        <w:rPr>
          <w:rFonts w:ascii="Tahoma" w:cs="Tahoma" w:eastAsia="Tahoma" w:hAnsi="Tahoma"/>
          <w:b w:val="0"/>
          <w:i w:val="1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. Po wybudowaniu takiej farmy fotowoltaicznej w oparciu o umowę PPA można sprzedawać prąd do swojej fabryki. </w:t>
      </w:r>
      <w:r w:rsidDel="00000000" w:rsidR="00000000" w:rsidRPr="00000000">
        <w:rPr>
          <w:rFonts w:ascii="Tahoma" w:cs="Tahoma" w:eastAsia="Tahoma" w:hAnsi="Tahoma"/>
          <w:i w:val="1"/>
          <w:sz w:val="22"/>
          <w:szCs w:val="22"/>
          <w:rtl w:val="0"/>
        </w:rPr>
        <w:t xml:space="preserve">Przy takiej konstrukcji zapłacimy jedynie </w:t>
      </w:r>
      <w:r w:rsidDel="00000000" w:rsidR="00000000" w:rsidRPr="00000000">
        <w:rPr>
          <w:rFonts w:ascii="Tahoma" w:cs="Tahoma" w:eastAsia="Tahoma" w:hAnsi="Tahoma"/>
          <w:b w:val="0"/>
          <w:i w:val="1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prowizje do Spółki Obrotu </w:t>
      </w:r>
      <w:r w:rsidDel="00000000" w:rsidR="00000000" w:rsidRPr="00000000">
        <w:rPr>
          <w:rFonts w:ascii="Tahoma" w:cs="Tahoma" w:eastAsia="Tahoma" w:hAnsi="Tahoma"/>
          <w:b w:val="0"/>
          <w:i w:val="1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Energi</w:t>
      </w:r>
      <w:r w:rsidDel="00000000" w:rsidR="00000000" w:rsidRPr="00000000">
        <w:rPr>
          <w:rFonts w:ascii="Tahoma" w:cs="Tahoma" w:eastAsia="Tahoma" w:hAnsi="Tahoma"/>
          <w:i w:val="1"/>
          <w:sz w:val="22"/>
          <w:szCs w:val="22"/>
          <w:rtl w:val="0"/>
        </w:rPr>
        <w:t xml:space="preserve">ą</w:t>
      </w:r>
      <w:r w:rsidDel="00000000" w:rsidR="00000000" w:rsidRPr="00000000">
        <w:rPr>
          <w:rFonts w:ascii="Tahoma" w:cs="Tahoma" w:eastAsia="Tahoma" w:hAnsi="Tahoma"/>
          <w:b w:val="0"/>
          <w:i w:val="1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 oraz opłatę dystrybucyjną.      Im bliżej będzie wybudowana taka farma fotowoltaiczna od zakładu produkcyjnego, </w:t>
      </w:r>
      <w:r w:rsidDel="00000000" w:rsidR="00000000" w:rsidRPr="00000000">
        <w:rPr>
          <w:rFonts w:ascii="Tahoma" w:cs="Tahoma" w:eastAsia="Tahoma" w:hAnsi="Tahoma"/>
          <w:i w:val="1"/>
          <w:sz w:val="22"/>
          <w:szCs w:val="22"/>
          <w:rtl w:val="0"/>
        </w:rPr>
        <w:t xml:space="preserve">tym mniejsza może być opłata dystrybucyjna </w:t>
      </w:r>
      <w:r w:rsidDel="00000000" w:rsidR="00000000" w:rsidRPr="00000000">
        <w:rPr>
          <w:rFonts w:ascii="Tahoma" w:cs="Tahoma" w:eastAsia="Tahoma" w:hAnsi="Tahoma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 – wyjaśnia Adrian Wachelka z INERGIS.  </w:t>
      </w:r>
    </w:p>
    <w:p w:rsidR="00000000" w:rsidDel="00000000" w:rsidP="00000000" w:rsidRDefault="00000000" w:rsidRPr="00000000" w14:paraId="00000015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60" w:before="0" w:line="276" w:lineRule="auto"/>
        <w:ind w:left="0" w:right="0" w:firstLine="0"/>
        <w:jc w:val="both"/>
        <w:rPr>
          <w:rFonts w:ascii="Tahoma" w:cs="Tahoma" w:eastAsia="Tahoma" w:hAnsi="Tahoma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Tahoma" w:cs="Tahoma" w:eastAsia="Tahoma" w:hAnsi="Tahoma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Ekspert jest zdania, że coraz więcej firm będzie inwestowało w odnawialne źródła energii – nie tylko tych z branży spożywczo-przemysłowej. Potwierdzają to dane. Z analiz IEO przeprowadzonych wśród przedsiębiorców wynika, że </w:t>
      </w:r>
      <w:r w:rsidDel="00000000" w:rsidR="00000000" w:rsidRPr="00000000">
        <w:rPr>
          <w:rFonts w:ascii="Tahoma" w:cs="Tahoma" w:eastAsia="Tahoma" w:hAnsi="Tahoma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firmy</w:t>
      </w:r>
      <w:r w:rsidDel="00000000" w:rsidR="00000000" w:rsidRPr="00000000">
        <w:rPr>
          <w:rFonts w:ascii="Tahoma" w:cs="Tahoma" w:eastAsia="Tahoma" w:hAnsi="Tahoma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 60 proc. firm planuje rozwój w obszarze OZE. Posiadanie własnej farmy fotowoltaicznej zapewnia nie tylko oszczędności, ale także niezależność energetyczną, która jest kluczowa w branży spożywczo-przemysłowej i zapewnia ciągłość produkcji. </w:t>
      </w:r>
    </w:p>
    <w:p w:rsidR="00000000" w:rsidDel="00000000" w:rsidP="00000000" w:rsidRDefault="00000000" w:rsidRPr="00000000" w14:paraId="00000016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60" w:before="0" w:line="276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7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60" w:before="0" w:line="276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8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60" w:before="0" w:line="276" w:lineRule="auto"/>
        <w:ind w:left="0" w:right="0" w:firstLine="0"/>
        <w:jc w:val="left"/>
        <w:rPr>
          <w:rFonts w:ascii="Tahoma" w:cs="Tahoma" w:eastAsia="Tahoma" w:hAnsi="Tahoma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9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both"/>
        <w:rPr>
          <w:rFonts w:ascii="Tahoma" w:cs="Tahoma" w:eastAsia="Tahoma" w:hAnsi="Tahoma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A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both"/>
        <w:rPr>
          <w:rFonts w:ascii="Tahoma" w:cs="Tahoma" w:eastAsia="Tahoma" w:hAnsi="Tahoma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B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both"/>
        <w:rPr>
          <w:rFonts w:ascii="Tahoma" w:cs="Tahoma" w:eastAsia="Tahoma" w:hAnsi="Tahoma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C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both"/>
        <w:rPr>
          <w:rFonts w:ascii="Tahoma" w:cs="Tahoma" w:eastAsia="Tahoma" w:hAnsi="Tahoma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D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both"/>
        <w:rPr>
          <w:rFonts w:ascii="Tahoma" w:cs="Tahoma" w:eastAsia="Tahoma" w:hAnsi="Tahoma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ahoma" w:cs="Tahoma" w:eastAsia="Tahoma" w:hAnsi="Tahoma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  <w:rtl w:val="0"/>
        </w:rPr>
        <w:t xml:space="preserve">Kontakt do mediów: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E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both"/>
        <w:rPr>
          <w:rFonts w:ascii="Tahoma" w:cs="Tahoma" w:eastAsia="Tahoma" w:hAnsi="Tahoma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ahoma" w:cs="Tahoma" w:eastAsia="Tahoma" w:hAnsi="Tahoma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  <w:rtl w:val="0"/>
        </w:rPr>
        <w:t xml:space="preserve">Anna Goławska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F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both"/>
        <w:rPr>
          <w:rFonts w:ascii="Tahoma" w:cs="Tahoma" w:eastAsia="Tahoma" w:hAnsi="Tahoma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ahoma" w:cs="Tahoma" w:eastAsia="Tahoma" w:hAnsi="Tahoma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  <w:rtl w:val="0"/>
        </w:rPr>
        <w:t xml:space="preserve">a.golawska@commplace.com.pl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0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left"/>
        <w:rPr>
          <w:rFonts w:ascii="Tahoma" w:cs="Tahoma" w:eastAsia="Tahoma" w:hAnsi="Tahoma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ahoma" w:cs="Tahoma" w:eastAsia="Tahoma" w:hAnsi="Tahoma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 </w:t>
      </w:r>
    </w:p>
    <w:p w:rsidR="00000000" w:rsidDel="00000000" w:rsidP="00000000" w:rsidRDefault="00000000" w:rsidRPr="00000000" w14:paraId="00000021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40" w:before="240" w:line="276" w:lineRule="auto"/>
        <w:ind w:left="0" w:right="0" w:firstLine="0"/>
        <w:jc w:val="left"/>
        <w:rPr>
          <w:rFonts w:ascii="Tahoma" w:cs="Tahoma" w:eastAsia="Tahoma" w:hAnsi="Tahoma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ahoma" w:cs="Tahoma" w:eastAsia="Tahoma" w:hAnsi="Tahoma"/>
          <w:b w:val="0"/>
          <w:i w:val="0"/>
          <w:smallCaps w:val="0"/>
          <w:strike w:val="0"/>
          <w:color w:val="000000"/>
          <w:sz w:val="16"/>
          <w:szCs w:val="16"/>
          <w:u w:val="none"/>
          <w:shd w:fill="auto" w:val="clear"/>
          <w:vertAlign w:val="baseline"/>
          <w:rtl w:val="0"/>
        </w:rPr>
        <w:t xml:space="preserve">O INERGIS S.A.: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2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left"/>
        <w:rPr>
          <w:rFonts w:ascii="Tahoma" w:cs="Tahoma" w:eastAsia="Tahoma" w:hAnsi="Tahoma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ahoma" w:cs="Tahoma" w:eastAsia="Tahoma" w:hAnsi="Tahoma"/>
          <w:b w:val="0"/>
          <w:i w:val="0"/>
          <w:smallCaps w:val="0"/>
          <w:strike w:val="0"/>
          <w:color w:val="000000"/>
          <w:sz w:val="16"/>
          <w:szCs w:val="16"/>
          <w:u w:val="none"/>
          <w:shd w:fill="auto" w:val="clear"/>
          <w:vertAlign w:val="baseline"/>
          <w:rtl w:val="0"/>
        </w:rPr>
        <w:t xml:space="preserve">INERGIS S.A. to tysiące zrealizowanych inwestycji, w tym blisko 10 000 instalacji OZE. Od 35 lat firma wspiera przedsiębiorstwa w modernizacji energetycznej, promując nowatorskie, energooszczędne rozwiązania z zakresu OZE (fotowoltaika i pompy ciepła) oraz kogeneracji i trigeneracji. Wiele lat doświadczeń w projektowaniu, przeprowadzaniu audytów, doradztwie, wykonawstwie i serwisie sprawiło, że oferta INERGIS S.A. jest dostosowana do potrzeb klientów komercyjnych, w tym przedsiębiorstw chcących zaoszczędzić na energii, ulokować wolne środki w rozwiązaniach OZE, czy zgodnie ze swoimi wartościami – dołączyć do transformacji w kierunku zrównoważonego rozwoju. Firma współpracuje na zasadach win-win: uczciwie i zgodnie z dobrymi praktykami traktując swoich klientów oraz partnerów biznesowych. Szacunek i kompleksowa wiedza to podstawy działań przedsiębiorstwa. Więcej informacji o firmie:</w:t>
      </w:r>
      <w:hyperlink r:id="rId8">
        <w:r w:rsidDel="00000000" w:rsidR="00000000" w:rsidRPr="00000000">
          <w:rPr>
            <w:rFonts w:ascii="Tahoma" w:cs="Tahoma" w:eastAsia="Tahoma" w:hAnsi="Tahoma"/>
            <w:b w:val="0"/>
            <w:i w:val="0"/>
            <w:smallCaps w:val="0"/>
            <w:strike w:val="0"/>
            <w:color w:val="000000"/>
            <w:sz w:val="16"/>
            <w:szCs w:val="16"/>
            <w:u w:val="none"/>
            <w:shd w:fill="auto" w:val="clear"/>
            <w:vertAlign w:val="baseline"/>
            <w:rtl w:val="0"/>
          </w:rPr>
          <w:t xml:space="preserve"> </w:t>
        </w:r>
      </w:hyperlink>
      <w:hyperlink r:id="rId9">
        <w:r w:rsidDel="00000000" w:rsidR="00000000" w:rsidRPr="00000000">
          <w:rPr>
            <w:rFonts w:ascii="Tahoma" w:cs="Tahoma" w:eastAsia="Tahoma" w:hAnsi="Tahoma"/>
            <w:b w:val="0"/>
            <w:i w:val="0"/>
            <w:smallCaps w:val="0"/>
            <w:strike w:val="0"/>
            <w:color w:val="1155cc"/>
            <w:sz w:val="16"/>
            <w:szCs w:val="16"/>
            <w:u w:val="single"/>
            <w:shd w:fill="auto" w:val="clear"/>
            <w:vertAlign w:val="baseline"/>
            <w:rtl w:val="0"/>
          </w:rPr>
          <w:t xml:space="preserve">https://inergis.pl/</w:t>
        </w:r>
      </w:hyperlink>
      <w:r w:rsidDel="00000000" w:rsidR="00000000" w:rsidRPr="00000000">
        <w:rPr>
          <w:rFonts w:ascii="Tahoma" w:cs="Tahoma" w:eastAsia="Tahoma" w:hAnsi="Tahoma"/>
          <w:b w:val="0"/>
          <w:i w:val="0"/>
          <w:smallCaps w:val="0"/>
          <w:strike w:val="0"/>
          <w:color w:val="000000"/>
          <w:sz w:val="16"/>
          <w:szCs w:val="16"/>
          <w:u w:val="none"/>
          <w:shd w:fill="auto" w:val="clear"/>
          <w:vertAlign w:val="baseline"/>
          <w:rtl w:val="0"/>
        </w:rPr>
        <w:t xml:space="preserve">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3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left"/>
        <w:rPr>
          <w:rFonts w:ascii="Tahoma" w:cs="Tahoma" w:eastAsia="Tahoma" w:hAnsi="Tahoma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sectPr>
      <w:headerReference r:id="rId10" w:type="default"/>
      <w:footerReference r:id="rId11" w:type="default"/>
      <w:pgSz w:h="16838" w:w="11906" w:orient="portrait"/>
      <w:pgMar w:bottom="2146" w:top="1806" w:left="850" w:right="850" w:header="850" w:footer="283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Georgia"/>
  <w:font w:name="Calibri"/>
  <w:font w:name="Tahoma">
    <w:embedRegular w:fontKey="{00000000-0000-0000-0000-000000000000}" r:id="rId1" w:subsetted="0"/>
    <w:embedBold w:fontKey="{00000000-0000-0000-0000-000000000000}" r:id="rId2" w:subsetted="0"/>
  </w:font>
  <w:font w:name="Liberation Serif"/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26">
    <w:pPr>
      <w:keepNext w:val="0"/>
      <w:keepLines w:val="0"/>
      <w:pageBreakBefore w:val="0"/>
      <w:widowControl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819"/>
        <w:tab w:val="right" w:leader="none" w:pos="9638"/>
      </w:tabs>
      <w:spacing w:after="0" w:before="0" w:line="240" w:lineRule="auto"/>
      <w:ind w:left="0" w:right="0" w:firstLine="0"/>
      <w:jc w:val="left"/>
      <w:rPr>
        <w:rFonts w:ascii="Liberation Serif" w:cs="Liberation Serif" w:eastAsia="Liberation Serif" w:hAnsi="Liberation Serif"/>
        <w:b w:val="0"/>
        <w:i w:val="0"/>
        <w:smallCaps w:val="0"/>
        <w:strike w:val="0"/>
        <w:color w:val="000000"/>
        <w:sz w:val="24"/>
        <w:szCs w:val="24"/>
        <w:u w:val="none"/>
        <w:shd w:fill="auto" w:val="clear"/>
        <w:vertAlign w:val="baseline"/>
      </w:rPr>
    </w:pPr>
    <w:r w:rsidDel="00000000" w:rsidR="00000000" w:rsidRPr="00000000">
      <w:rPr>
        <w:rFonts w:ascii="Liberation Serif" w:cs="Liberation Serif" w:eastAsia="Liberation Serif" w:hAnsi="Liberation Serif"/>
        <w:b w:val="0"/>
        <w:i w:val="0"/>
        <w:smallCaps w:val="0"/>
        <w:strike w:val="0"/>
        <w:color w:val="000000"/>
        <w:sz w:val="24"/>
        <w:szCs w:val="24"/>
        <w:u w:val="none"/>
        <w:shd w:fill="auto" w:val="clear"/>
        <w:vertAlign w:val="baseline"/>
      </w:rPr>
      <w:drawing>
        <wp:inline distB="0" distT="0" distL="114300" distR="114300">
          <wp:extent cx="6475095" cy="1229995"/>
          <wp:effectExtent b="0" l="0" r="0" t="0"/>
          <wp:docPr id="1027" name="image2.png"/>
          <a:graphic>
            <a:graphicData uri="http://schemas.openxmlformats.org/drawingml/2006/picture">
              <pic:pic>
                <pic:nvPicPr>
                  <pic:cNvPr id="0" name="image2.png"/>
                  <pic:cNvPicPr preferRelativeResize="0"/>
                </pic:nvPicPr>
                <pic:blipFill>
                  <a:blip r:embed="rId1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6475095" cy="1229995"/>
                  </a:xfrm>
                  <a:prstGeom prst="rect"/>
                  <a:ln/>
                </pic:spPr>
              </pic:pic>
            </a:graphicData>
          </a:graphic>
        </wp:inline>
      </w:drawing>
    </w:r>
    <w:r w:rsidDel="00000000" w:rsidR="00000000" w:rsidRPr="00000000">
      <w:rPr>
        <w:rtl w:val="0"/>
      </w:rPr>
    </w:r>
  </w:p>
</w:ftr>
</file>

<file path=word/footnotes.xml><?xml version="1.0" encoding="utf-8"?>
<w:footnot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otnote w:id="0">
    <w:p w:rsidR="00000000" w:rsidDel="00000000" w:rsidP="00000000" w:rsidRDefault="00000000" w:rsidRPr="00000000" w14:paraId="00000024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Liberation Serif" w:cs="Liberation Serif" w:eastAsia="Liberation Serif" w:hAnsi="Liberation Serif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</w:rPr>
      </w:pPr>
      <w:r w:rsidDel="00000000" w:rsidR="00000000" w:rsidRPr="00000000">
        <w:rPr>
          <w:rStyle w:val="FootnoteReference"/>
          <w:vertAlign w:val="superscript"/>
        </w:rPr>
        <w:footnoteRef/>
      </w:r>
      <w:r w:rsidDel="00000000" w:rsidR="00000000" w:rsidRPr="00000000">
        <w:rPr>
          <w:rFonts w:ascii="Liberation Serif" w:cs="Liberation Serif" w:eastAsia="Liberation Serif" w:hAnsi="Liberation Serif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  <w:rtl w:val="0"/>
        </w:rPr>
        <w:t xml:space="preserve"> Dane ze Skanera MŚP </w:t>
      </w:r>
    </w:p>
  </w:footnote>
</w:footnotes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25">
    <w:pPr>
      <w:keepNext w:val="0"/>
      <w:keepLines w:val="0"/>
      <w:pageBreakBefore w:val="0"/>
      <w:widowControl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819"/>
        <w:tab w:val="right" w:leader="none" w:pos="9638"/>
      </w:tabs>
      <w:spacing w:after="0" w:before="0" w:line="240" w:lineRule="auto"/>
      <w:ind w:left="0" w:right="0" w:firstLine="0"/>
      <w:jc w:val="left"/>
      <w:rPr>
        <w:rFonts w:ascii="Liberation Serif" w:cs="Liberation Serif" w:eastAsia="Liberation Serif" w:hAnsi="Liberation Serif"/>
        <w:b w:val="0"/>
        <w:i w:val="0"/>
        <w:smallCaps w:val="0"/>
        <w:strike w:val="0"/>
        <w:color w:val="000000"/>
        <w:sz w:val="24"/>
        <w:szCs w:val="24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  <w:r w:rsidDel="00000000" w:rsidR="00000000" w:rsidRPr="00000000">
      <w:drawing>
        <wp:anchor allowOverlap="1" behindDoc="0" distB="0" distT="0" distL="0" distR="0" hidden="0" layoutInCell="1" locked="0" relativeHeight="0" simplePos="0">
          <wp:simplePos x="0" y="0"/>
          <wp:positionH relativeFrom="column">
            <wp:posOffset>0</wp:posOffset>
          </wp:positionH>
          <wp:positionV relativeFrom="paragraph">
            <wp:posOffset>-391794</wp:posOffset>
          </wp:positionV>
          <wp:extent cx="6480175" cy="1001395"/>
          <wp:effectExtent b="0" l="0" r="0" t="0"/>
          <wp:wrapSquare wrapText="bothSides" distB="0" distT="0" distL="0" distR="0"/>
          <wp:docPr id="1026" name="image1.png"/>
          <a:graphic>
            <a:graphicData uri="http://schemas.openxmlformats.org/drawingml/2006/picture">
              <pic:pic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6480175" cy="1001395"/>
                  </a:xfrm>
                  <a:prstGeom prst="rect"/>
                  <a:ln/>
                </pic:spPr>
              </pic:pic>
            </a:graphicData>
          </a:graphic>
        </wp:anchor>
      </w:drawing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lang w:val="pl-PL"/>
      </w:rPr>
    </w:rPrDefault>
    <w:pPrDefault>
      <w:pPr/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72"/>
      <w:szCs w:val="72"/>
    </w:rPr>
  </w:style>
  <w:style w:type="paragraph" w:styleId="Normalny">
    <w:name w:val="Normalny"/>
    <w:next w:val="Normalny"/>
    <w:autoRedefine w:val="0"/>
    <w:hidden w:val="0"/>
    <w:qFormat w:val="0"/>
    <w:pPr>
      <w:widowControl w:val="0"/>
      <w:suppressAutoHyphens w:val="0"/>
      <w:spacing w:line="1" w:lineRule="atLeast"/>
      <w:ind w:leftChars="-1" w:rightChars="0" w:firstLineChars="-1"/>
      <w:textDirection w:val="btLr"/>
      <w:textAlignment w:val="top"/>
      <w:outlineLvl w:val="0"/>
    </w:pPr>
    <w:rPr>
      <w:rFonts w:ascii="Liberation Serif" w:cs="Mangal" w:eastAsia="SimSun" w:hAnsi="Liberation Serif"/>
      <w:w w:val="100"/>
      <w:kern w:val="1"/>
      <w:position w:val="-1"/>
      <w:sz w:val="24"/>
      <w:szCs w:val="24"/>
      <w:effect w:val="none"/>
      <w:vertAlign w:val="baseline"/>
      <w:cs w:val="0"/>
      <w:em w:val="none"/>
      <w:lang w:bidi="hi-IN" w:eastAsia="zh-CN" w:val="pl-PL"/>
    </w:rPr>
  </w:style>
  <w:style w:type="paragraph" w:styleId="Nagłówek10">
    <w:name w:val="Nagłówek 1"/>
    <w:basedOn w:val="Nagłówek1"/>
    <w:next w:val="Tekstpodstawowy"/>
    <w:autoRedefine w:val="0"/>
    <w:hidden w:val="0"/>
    <w:qFormat w:val="0"/>
    <w:pPr>
      <w:keepNext w:val="1"/>
      <w:widowControl w:val="0"/>
      <w:numPr>
        <w:ilvl w:val="0"/>
        <w:numId w:val="1"/>
      </w:numPr>
      <w:suppressAutoHyphens w:val="0"/>
      <w:spacing w:after="120" w:before="240" w:line="1" w:lineRule="atLeast"/>
      <w:ind w:leftChars="-1" w:rightChars="0" w:firstLineChars="-1"/>
      <w:textDirection w:val="btLr"/>
      <w:textAlignment w:val="top"/>
      <w:outlineLvl w:val="0"/>
    </w:pPr>
    <w:rPr>
      <w:rFonts w:ascii="Liberation Sans" w:cs="Mangal" w:eastAsia="Microsoft YaHei" w:hAnsi="Liberation Sans"/>
      <w:b w:val="1"/>
      <w:bCs w:val="1"/>
      <w:w w:val="100"/>
      <w:kern w:val="1"/>
      <w:position w:val="-1"/>
      <w:sz w:val="36"/>
      <w:szCs w:val="36"/>
      <w:effect w:val="none"/>
      <w:vertAlign w:val="baseline"/>
      <w:cs w:val="0"/>
      <w:em w:val="none"/>
      <w:lang w:bidi="hi-IN" w:eastAsia="zh-CN" w:val="pl-PL"/>
    </w:rPr>
  </w:style>
  <w:style w:type="paragraph" w:styleId="Nagłówek2">
    <w:name w:val="Nagłówek 2"/>
    <w:basedOn w:val="Nagłówek1"/>
    <w:next w:val="Tekstpodstawowy"/>
    <w:autoRedefine w:val="0"/>
    <w:hidden w:val="0"/>
    <w:qFormat w:val="0"/>
    <w:pPr>
      <w:keepNext w:val="1"/>
      <w:widowControl w:val="0"/>
      <w:numPr>
        <w:ilvl w:val="1"/>
        <w:numId w:val="1"/>
      </w:numPr>
      <w:suppressAutoHyphens w:val="0"/>
      <w:spacing w:after="120" w:before="200" w:line="1" w:lineRule="atLeast"/>
      <w:ind w:leftChars="-1" w:rightChars="0" w:firstLineChars="-1"/>
      <w:textDirection w:val="btLr"/>
      <w:textAlignment w:val="top"/>
      <w:outlineLvl w:val="1"/>
    </w:pPr>
    <w:rPr>
      <w:rFonts w:ascii="Liberation Sans" w:cs="Mangal" w:eastAsia="Microsoft YaHei" w:hAnsi="Liberation Sans"/>
      <w:b w:val="1"/>
      <w:bCs w:val="1"/>
      <w:w w:val="100"/>
      <w:kern w:val="1"/>
      <w:position w:val="-1"/>
      <w:sz w:val="32"/>
      <w:szCs w:val="32"/>
      <w:effect w:val="none"/>
      <w:vertAlign w:val="baseline"/>
      <w:cs w:val="0"/>
      <w:em w:val="none"/>
      <w:lang w:bidi="hi-IN" w:eastAsia="zh-CN" w:val="pl-PL"/>
    </w:rPr>
  </w:style>
  <w:style w:type="paragraph" w:styleId="Nagłówek3">
    <w:name w:val="Nagłówek 3"/>
    <w:basedOn w:val="Nagłówek1"/>
    <w:next w:val="Tekstpodstawowy"/>
    <w:autoRedefine w:val="0"/>
    <w:hidden w:val="0"/>
    <w:qFormat w:val="0"/>
    <w:pPr>
      <w:keepNext w:val="1"/>
      <w:widowControl w:val="0"/>
      <w:numPr>
        <w:ilvl w:val="2"/>
        <w:numId w:val="1"/>
      </w:numPr>
      <w:suppressAutoHyphens w:val="0"/>
      <w:spacing w:after="120" w:before="140" w:line="1" w:lineRule="atLeast"/>
      <w:ind w:leftChars="-1" w:rightChars="0" w:firstLineChars="-1"/>
      <w:textDirection w:val="btLr"/>
      <w:textAlignment w:val="top"/>
      <w:outlineLvl w:val="2"/>
    </w:pPr>
    <w:rPr>
      <w:rFonts w:ascii="Liberation Sans" w:cs="Mangal" w:eastAsia="Microsoft YaHei" w:hAnsi="Liberation Sans"/>
      <w:b w:val="1"/>
      <w:bCs w:val="1"/>
      <w:w w:val="100"/>
      <w:kern w:val="1"/>
      <w:position w:val="-1"/>
      <w:sz w:val="28"/>
      <w:szCs w:val="28"/>
      <w:effect w:val="none"/>
      <w:vertAlign w:val="baseline"/>
      <w:cs w:val="0"/>
      <w:em w:val="none"/>
      <w:lang w:bidi="hi-IN" w:eastAsia="zh-CN" w:val="pl-PL"/>
    </w:rPr>
  </w:style>
  <w:style w:type="character" w:styleId="Domyślnaczcionkaakapitu">
    <w:name w:val="Domyślna czcionka akapitu"/>
    <w:next w:val="Domyślnaczcionkaakapitu"/>
    <w:autoRedefine w:val="0"/>
    <w:hidden w:val="0"/>
    <w:qFormat w:val="1"/>
    <w:rPr>
      <w:w w:val="100"/>
      <w:position w:val="-1"/>
      <w:effect w:val="none"/>
      <w:vertAlign w:val="baseline"/>
      <w:cs w:val="0"/>
      <w:em w:val="none"/>
      <w:lang/>
    </w:rPr>
  </w:style>
  <w:style w:type="table" w:styleId="Standardowy">
    <w:name w:val="Standardowy"/>
    <w:next w:val="Standardowy"/>
    <w:autoRedefine w:val="0"/>
    <w:hidden w:val="0"/>
    <w:qFormat w:val="1"/>
    <w:pPr>
      <w:suppressAutoHyphens w:val="1"/>
      <w:spacing w:line="1" w:lineRule="atLeast"/>
      <w:ind w:leftChars="-1" w:rightChars="0" w:firstLineChars="-1"/>
      <w:textDirection w:val="btLr"/>
      <w:textAlignment w:val="top"/>
      <w:outlineLvl w:val="0"/>
    </w:pPr>
    <w:rPr>
      <w:w w:val="100"/>
      <w:position w:val="-1"/>
      <w:effect w:val="none"/>
      <w:vertAlign w:val="baseline"/>
      <w:cs w:val="0"/>
      <w:em w:val="none"/>
      <w:lang/>
    </w:rPr>
    <w:tblPr>
      <w:tblStyle w:val="Standardowy"/>
      <w:jc w:val="left"/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Bezlisty">
    <w:name w:val="Bez listy"/>
    <w:next w:val="Bezlisty"/>
    <w:autoRedefine w:val="0"/>
    <w:hidden w:val="0"/>
    <w:qFormat w:val="1"/>
    <w:pPr>
      <w:suppressAutoHyphens w:val="1"/>
      <w:spacing w:line="1" w:lineRule="atLeast"/>
      <w:ind w:leftChars="-1" w:rightChars="0" w:firstLineChars="-1"/>
      <w:textDirection w:val="btLr"/>
      <w:textAlignment w:val="top"/>
      <w:outlineLvl w:val="0"/>
    </w:pPr>
  </w:style>
  <w:style w:type="paragraph" w:styleId="Nagłówek1">
    <w:name w:val="Nagłówek1"/>
    <w:basedOn w:val="Normalny"/>
    <w:next w:val="Tekstpodstawowy"/>
    <w:autoRedefine w:val="0"/>
    <w:hidden w:val="0"/>
    <w:qFormat w:val="0"/>
    <w:pPr>
      <w:keepNext w:val="1"/>
      <w:widowControl w:val="0"/>
      <w:suppressAutoHyphens w:val="0"/>
      <w:spacing w:after="120" w:before="240" w:line="1" w:lineRule="atLeast"/>
      <w:ind w:leftChars="-1" w:rightChars="0" w:firstLineChars="-1"/>
      <w:textDirection w:val="btLr"/>
      <w:textAlignment w:val="top"/>
      <w:outlineLvl w:val="0"/>
    </w:pPr>
    <w:rPr>
      <w:rFonts w:ascii="Liberation Sans" w:cs="Mangal" w:eastAsia="Microsoft YaHei" w:hAnsi="Liberation Sans"/>
      <w:w w:val="100"/>
      <w:kern w:val="1"/>
      <w:position w:val="-1"/>
      <w:sz w:val="28"/>
      <w:szCs w:val="28"/>
      <w:effect w:val="none"/>
      <w:vertAlign w:val="baseline"/>
      <w:cs w:val="0"/>
      <w:em w:val="none"/>
      <w:lang w:bidi="hi-IN" w:eastAsia="zh-CN" w:val="pl-PL"/>
    </w:rPr>
  </w:style>
  <w:style w:type="paragraph" w:styleId="Tekstpodstawowy">
    <w:name w:val="Tekst podstawowy"/>
    <w:basedOn w:val="Normalny"/>
    <w:next w:val="Tekstpodstawowy"/>
    <w:autoRedefine w:val="0"/>
    <w:hidden w:val="0"/>
    <w:qFormat w:val="0"/>
    <w:pPr>
      <w:widowControl w:val="0"/>
      <w:suppressAutoHyphens w:val="0"/>
      <w:spacing w:after="140" w:before="0" w:line="288" w:lineRule="auto"/>
      <w:ind w:leftChars="-1" w:rightChars="0" w:firstLineChars="-1"/>
      <w:textDirection w:val="btLr"/>
      <w:textAlignment w:val="top"/>
      <w:outlineLvl w:val="0"/>
    </w:pPr>
    <w:rPr>
      <w:rFonts w:ascii="Liberation Serif" w:cs="Mangal" w:eastAsia="SimSun" w:hAnsi="Liberation Serif"/>
      <w:w w:val="100"/>
      <w:kern w:val="1"/>
      <w:position w:val="-1"/>
      <w:sz w:val="24"/>
      <w:szCs w:val="24"/>
      <w:effect w:val="none"/>
      <w:vertAlign w:val="baseline"/>
      <w:cs w:val="0"/>
      <w:em w:val="none"/>
      <w:lang w:bidi="hi-IN" w:eastAsia="zh-CN" w:val="pl-PL"/>
    </w:rPr>
  </w:style>
  <w:style w:type="paragraph" w:styleId="Lista">
    <w:name w:val="Lista"/>
    <w:basedOn w:val="Tekstpodstawowy"/>
    <w:next w:val="Lista"/>
    <w:autoRedefine w:val="0"/>
    <w:hidden w:val="0"/>
    <w:qFormat w:val="0"/>
    <w:pPr>
      <w:widowControl w:val="0"/>
      <w:suppressAutoHyphens w:val="0"/>
      <w:spacing w:after="140" w:before="0" w:line="288" w:lineRule="auto"/>
      <w:ind w:leftChars="-1" w:rightChars="0" w:firstLineChars="-1"/>
      <w:textDirection w:val="btLr"/>
      <w:textAlignment w:val="top"/>
      <w:outlineLvl w:val="0"/>
    </w:pPr>
    <w:rPr>
      <w:rFonts w:ascii="Liberation Serif" w:cs="Mangal" w:eastAsia="SimSun" w:hAnsi="Liberation Serif"/>
      <w:w w:val="100"/>
      <w:kern w:val="1"/>
      <w:position w:val="-1"/>
      <w:sz w:val="24"/>
      <w:szCs w:val="24"/>
      <w:effect w:val="none"/>
      <w:vertAlign w:val="baseline"/>
      <w:cs w:val="0"/>
      <w:em w:val="none"/>
      <w:lang w:bidi="hi-IN" w:eastAsia="zh-CN" w:val="pl-PL"/>
    </w:rPr>
  </w:style>
  <w:style w:type="paragraph" w:styleId="Legenda">
    <w:name w:val="Legenda"/>
    <w:basedOn w:val="Normalny"/>
    <w:next w:val="Legenda"/>
    <w:autoRedefine w:val="0"/>
    <w:hidden w:val="0"/>
    <w:qFormat w:val="0"/>
    <w:pPr>
      <w:widowControl w:val="0"/>
      <w:suppressLineNumbers w:val="1"/>
      <w:suppressAutoHyphens w:val="0"/>
      <w:spacing w:after="120" w:before="120" w:line="1" w:lineRule="atLeast"/>
      <w:ind w:leftChars="-1" w:rightChars="0" w:firstLineChars="-1"/>
      <w:textDirection w:val="btLr"/>
      <w:textAlignment w:val="top"/>
      <w:outlineLvl w:val="0"/>
    </w:pPr>
    <w:rPr>
      <w:rFonts w:ascii="Liberation Serif" w:cs="Mangal" w:eastAsia="SimSun" w:hAnsi="Liberation Serif"/>
      <w:i w:val="1"/>
      <w:iCs w:val="1"/>
      <w:w w:val="100"/>
      <w:kern w:val="1"/>
      <w:position w:val="-1"/>
      <w:sz w:val="24"/>
      <w:szCs w:val="24"/>
      <w:effect w:val="none"/>
      <w:vertAlign w:val="baseline"/>
      <w:cs w:val="0"/>
      <w:em w:val="none"/>
      <w:lang w:bidi="hi-IN" w:eastAsia="zh-CN" w:val="pl-PL"/>
    </w:rPr>
  </w:style>
  <w:style w:type="paragraph" w:styleId="Indeks">
    <w:name w:val="Indeks"/>
    <w:basedOn w:val="Normalny"/>
    <w:next w:val="Indeks"/>
    <w:autoRedefine w:val="0"/>
    <w:hidden w:val="0"/>
    <w:qFormat w:val="0"/>
    <w:pPr>
      <w:widowControl w:val="0"/>
      <w:suppressLineNumbers w:val="1"/>
      <w:suppressAutoHyphens w:val="0"/>
      <w:spacing w:line="1" w:lineRule="atLeast"/>
      <w:ind w:leftChars="-1" w:rightChars="0" w:firstLineChars="-1"/>
      <w:textDirection w:val="btLr"/>
      <w:textAlignment w:val="top"/>
      <w:outlineLvl w:val="0"/>
    </w:pPr>
    <w:rPr>
      <w:rFonts w:ascii="Liberation Serif" w:cs="Mangal" w:eastAsia="SimSun" w:hAnsi="Liberation Serif"/>
      <w:w w:val="100"/>
      <w:kern w:val="1"/>
      <w:position w:val="-1"/>
      <w:sz w:val="24"/>
      <w:szCs w:val="24"/>
      <w:effect w:val="none"/>
      <w:vertAlign w:val="baseline"/>
      <w:cs w:val="0"/>
      <w:em w:val="none"/>
      <w:lang w:bidi="hi-IN" w:eastAsia="zh-CN" w:val="pl-PL"/>
    </w:rPr>
  </w:style>
  <w:style w:type="paragraph" w:styleId="Cytaty">
    <w:name w:val="Cytaty"/>
    <w:basedOn w:val="Normalny"/>
    <w:next w:val="Cytaty"/>
    <w:autoRedefine w:val="0"/>
    <w:hidden w:val="0"/>
    <w:qFormat w:val="0"/>
    <w:pPr>
      <w:widowControl w:val="0"/>
      <w:suppressAutoHyphens w:val="0"/>
      <w:spacing w:after="283" w:before="0" w:line="1" w:lineRule="atLeast"/>
      <w:ind w:left="567" w:right="567" w:leftChars="-1" w:rightChars="0" w:firstLine="0" w:firstLineChars="-1"/>
      <w:textDirection w:val="btLr"/>
      <w:textAlignment w:val="top"/>
      <w:outlineLvl w:val="0"/>
    </w:pPr>
    <w:rPr>
      <w:rFonts w:ascii="Liberation Serif" w:cs="Mangal" w:eastAsia="SimSun" w:hAnsi="Liberation Serif"/>
      <w:w w:val="100"/>
      <w:kern w:val="1"/>
      <w:position w:val="-1"/>
      <w:sz w:val="24"/>
      <w:szCs w:val="24"/>
      <w:effect w:val="none"/>
      <w:vertAlign w:val="baseline"/>
      <w:cs w:val="0"/>
      <w:em w:val="none"/>
      <w:lang w:bidi="hi-IN" w:eastAsia="zh-CN" w:val="pl-PL"/>
    </w:rPr>
  </w:style>
  <w:style w:type="paragraph" w:styleId="Tytuł">
    <w:name w:val="Tytuł"/>
    <w:basedOn w:val="Nagłówek1"/>
    <w:next w:val="Tekstpodstawowy"/>
    <w:autoRedefine w:val="0"/>
    <w:hidden w:val="0"/>
    <w:qFormat w:val="0"/>
    <w:pPr>
      <w:keepNext w:val="1"/>
      <w:widowControl w:val="0"/>
      <w:suppressAutoHyphens w:val="0"/>
      <w:spacing w:after="120" w:before="240" w:line="1" w:lineRule="atLeast"/>
      <w:ind w:leftChars="-1" w:rightChars="0" w:firstLineChars="-1"/>
      <w:jc w:val="center"/>
      <w:textDirection w:val="btLr"/>
      <w:textAlignment w:val="top"/>
      <w:outlineLvl w:val="0"/>
    </w:pPr>
    <w:rPr>
      <w:rFonts w:ascii="Liberation Sans" w:cs="Mangal" w:eastAsia="Microsoft YaHei" w:hAnsi="Liberation Sans"/>
      <w:b w:val="1"/>
      <w:bCs w:val="1"/>
      <w:w w:val="100"/>
      <w:kern w:val="1"/>
      <w:position w:val="-1"/>
      <w:sz w:val="56"/>
      <w:szCs w:val="56"/>
      <w:effect w:val="none"/>
      <w:vertAlign w:val="baseline"/>
      <w:cs w:val="0"/>
      <w:em w:val="none"/>
      <w:lang w:bidi="hi-IN" w:eastAsia="zh-CN" w:val="pl-PL"/>
    </w:rPr>
  </w:style>
  <w:style w:type="paragraph" w:styleId="Podtytuł">
    <w:name w:val="Podtytuł"/>
    <w:basedOn w:val="Nagłówek1"/>
    <w:next w:val="Tekstpodstawowy"/>
    <w:autoRedefine w:val="0"/>
    <w:hidden w:val="0"/>
    <w:qFormat w:val="0"/>
    <w:pPr>
      <w:keepNext w:val="1"/>
      <w:widowControl w:val="0"/>
      <w:suppressAutoHyphens w:val="0"/>
      <w:spacing w:after="120" w:before="60" w:line="1" w:lineRule="atLeast"/>
      <w:ind w:leftChars="-1" w:rightChars="0" w:firstLineChars="-1"/>
      <w:jc w:val="center"/>
      <w:textDirection w:val="btLr"/>
      <w:textAlignment w:val="top"/>
      <w:outlineLvl w:val="0"/>
    </w:pPr>
    <w:rPr>
      <w:rFonts w:ascii="Liberation Sans" w:cs="Mangal" w:eastAsia="Microsoft YaHei" w:hAnsi="Liberation Sans"/>
      <w:w w:val="100"/>
      <w:kern w:val="1"/>
      <w:position w:val="-1"/>
      <w:sz w:val="36"/>
      <w:szCs w:val="36"/>
      <w:effect w:val="none"/>
      <w:vertAlign w:val="baseline"/>
      <w:cs w:val="0"/>
      <w:em w:val="none"/>
      <w:lang w:bidi="hi-IN" w:eastAsia="zh-CN" w:val="pl-PL"/>
    </w:rPr>
  </w:style>
  <w:style w:type="paragraph" w:styleId="Nagłówek">
    <w:name w:val="Nagłówek"/>
    <w:basedOn w:val="Normalny"/>
    <w:next w:val="Nagłówek"/>
    <w:autoRedefine w:val="0"/>
    <w:hidden w:val="0"/>
    <w:qFormat w:val="0"/>
    <w:pPr>
      <w:widowControl w:val="0"/>
      <w:suppressLineNumbers w:val="1"/>
      <w:tabs>
        <w:tab w:val="center" w:leader="none" w:pos="4819"/>
        <w:tab w:val="right" w:leader="none" w:pos="9638"/>
      </w:tabs>
      <w:suppressAutoHyphens w:val="0"/>
      <w:spacing w:line="1" w:lineRule="atLeast"/>
      <w:ind w:leftChars="-1" w:rightChars="0" w:firstLineChars="-1"/>
      <w:textDirection w:val="btLr"/>
      <w:textAlignment w:val="top"/>
      <w:outlineLvl w:val="0"/>
    </w:pPr>
    <w:rPr>
      <w:rFonts w:ascii="Liberation Serif" w:cs="Mangal" w:eastAsia="SimSun" w:hAnsi="Liberation Serif"/>
      <w:w w:val="100"/>
      <w:kern w:val="1"/>
      <w:position w:val="-1"/>
      <w:sz w:val="24"/>
      <w:szCs w:val="24"/>
      <w:effect w:val="none"/>
      <w:vertAlign w:val="baseline"/>
      <w:cs w:val="0"/>
      <w:em w:val="none"/>
      <w:lang w:bidi="hi-IN" w:eastAsia="zh-CN" w:val="pl-PL"/>
    </w:rPr>
  </w:style>
  <w:style w:type="paragraph" w:styleId="Stopka">
    <w:name w:val="Stopka"/>
    <w:basedOn w:val="Normalny"/>
    <w:next w:val="Stopka"/>
    <w:autoRedefine w:val="0"/>
    <w:hidden w:val="0"/>
    <w:qFormat w:val="0"/>
    <w:pPr>
      <w:widowControl w:val="0"/>
      <w:suppressLineNumbers w:val="1"/>
      <w:tabs>
        <w:tab w:val="center" w:leader="none" w:pos="4819"/>
        <w:tab w:val="right" w:leader="none" w:pos="9638"/>
      </w:tabs>
      <w:suppressAutoHyphens w:val="0"/>
      <w:spacing w:line="1" w:lineRule="atLeast"/>
      <w:ind w:leftChars="-1" w:rightChars="0" w:firstLineChars="-1"/>
      <w:textDirection w:val="btLr"/>
      <w:textAlignment w:val="top"/>
      <w:outlineLvl w:val="0"/>
    </w:pPr>
    <w:rPr>
      <w:rFonts w:ascii="Liberation Serif" w:cs="Mangal" w:eastAsia="SimSun" w:hAnsi="Liberation Serif"/>
      <w:w w:val="100"/>
      <w:kern w:val="1"/>
      <w:position w:val="-1"/>
      <w:sz w:val="24"/>
      <w:szCs w:val="24"/>
      <w:effect w:val="none"/>
      <w:vertAlign w:val="baseline"/>
      <w:cs w:val="0"/>
      <w:em w:val="none"/>
      <w:lang w:bidi="hi-IN" w:eastAsia="zh-CN" w:val="pl-PL"/>
    </w:rPr>
  </w:style>
  <w:style w:type="character" w:styleId="wfattreadonlylabel">
    <w:name w:val="wfattreadonlylabel"/>
    <w:next w:val="wfattreadonlylabel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paragraph" w:styleId="Normalny(Web)">
    <w:name w:val="Normalny (Web)"/>
    <w:basedOn w:val="Normalny"/>
    <w:next w:val="Normalny(Web)"/>
    <w:autoRedefine w:val="0"/>
    <w:hidden w:val="0"/>
    <w:qFormat w:val="1"/>
    <w:pPr>
      <w:widowControl w:val="1"/>
      <w:suppressAutoHyphens w:val="1"/>
      <w:spacing w:after="100" w:afterAutospacing="1" w:before="100" w:beforeAutospacing="1" w:line="1" w:lineRule="atLeast"/>
      <w:ind w:leftChars="-1" w:rightChars="0" w:firstLineChars="-1"/>
      <w:textDirection w:val="btLr"/>
      <w:textAlignment w:val="top"/>
      <w:outlineLvl w:val="0"/>
    </w:pPr>
    <w:rPr>
      <w:rFonts w:ascii="Times New Roman" w:cs="Times New Roman" w:eastAsia="Times New Roman" w:hAnsi="Times New Roman"/>
      <w:w w:val="100"/>
      <w:kern w:val="0"/>
      <w:position w:val="-1"/>
      <w:sz w:val="24"/>
      <w:szCs w:val="24"/>
      <w:effect w:val="none"/>
      <w:vertAlign w:val="baseline"/>
      <w:cs w:val="0"/>
      <w:em w:val="none"/>
      <w:lang w:bidi="ar-SA" w:eastAsia="zh-CN" w:val="pl-PL"/>
    </w:rPr>
  </w:style>
  <w:style w:type="paragraph" w:styleId="Tekstprzypisudolnego">
    <w:name w:val="Tekst przypisu dolnego"/>
    <w:basedOn w:val="Normalny"/>
    <w:next w:val="Tekstprzypisudolnego"/>
    <w:autoRedefine w:val="0"/>
    <w:hidden w:val="0"/>
    <w:qFormat w:val="1"/>
    <w:pPr>
      <w:widowControl w:val="0"/>
      <w:suppressAutoHyphens w:val="0"/>
      <w:spacing w:line="1" w:lineRule="atLeast"/>
      <w:ind w:leftChars="-1" w:rightChars="0" w:firstLineChars="-1"/>
      <w:textDirection w:val="btLr"/>
      <w:textAlignment w:val="top"/>
      <w:outlineLvl w:val="0"/>
    </w:pPr>
    <w:rPr>
      <w:rFonts w:ascii="Liberation Serif" w:cs="Mangal" w:eastAsia="SimSun" w:hAnsi="Liberation Serif"/>
      <w:w w:val="100"/>
      <w:kern w:val="1"/>
      <w:position w:val="-1"/>
      <w:sz w:val="20"/>
      <w:szCs w:val="18"/>
      <w:effect w:val="none"/>
      <w:vertAlign w:val="baseline"/>
      <w:cs w:val="0"/>
      <w:em w:val="none"/>
      <w:lang w:bidi="hi-IN" w:eastAsia="zh-CN" w:val="pl-PL"/>
    </w:rPr>
  </w:style>
  <w:style w:type="character" w:styleId="TekstprzypisudolnegoZnak">
    <w:name w:val="Tekst przypisu dolnego Znak"/>
    <w:next w:val="TekstprzypisudolnegoZnak"/>
    <w:autoRedefine w:val="0"/>
    <w:hidden w:val="0"/>
    <w:qFormat w:val="0"/>
    <w:rPr>
      <w:rFonts w:ascii="Liberation Serif" w:cs="Mangal" w:eastAsia="SimSun" w:hAnsi="Liberation Serif"/>
      <w:w w:val="100"/>
      <w:kern w:val="1"/>
      <w:position w:val="-1"/>
      <w:szCs w:val="18"/>
      <w:effect w:val="none"/>
      <w:vertAlign w:val="baseline"/>
      <w:cs w:val="0"/>
      <w:em w:val="none"/>
      <w:lang w:bidi="hi-IN" w:eastAsia="zh-CN"/>
    </w:rPr>
  </w:style>
  <w:style w:type="character" w:styleId="Odwołanieprzypisudolnego">
    <w:name w:val="Odwołanie przypisu dolnego"/>
    <w:next w:val="Odwołanieprzypisudolnego"/>
    <w:autoRedefine w:val="0"/>
    <w:hidden w:val="0"/>
    <w:qFormat w:val="1"/>
    <w:rPr>
      <w:w w:val="100"/>
      <w:position w:val="-1"/>
      <w:effect w:val="none"/>
      <w:vertAlign w:val="superscript"/>
      <w:cs w:val="0"/>
      <w:em w:val="none"/>
      <w:lang/>
    </w:rPr>
  </w:style>
  <w:style w:type="paragraph" w:styleId="Tekstprzypisukońcowego">
    <w:name w:val="Tekst przypisu końcowego"/>
    <w:basedOn w:val="Normalny"/>
    <w:next w:val="Tekstprzypisukońcowego"/>
    <w:autoRedefine w:val="0"/>
    <w:hidden w:val="0"/>
    <w:qFormat w:val="1"/>
    <w:pPr>
      <w:widowControl w:val="0"/>
      <w:suppressAutoHyphens w:val="0"/>
      <w:spacing w:line="1" w:lineRule="atLeast"/>
      <w:ind w:leftChars="-1" w:rightChars="0" w:firstLineChars="-1"/>
      <w:textDirection w:val="btLr"/>
      <w:textAlignment w:val="top"/>
      <w:outlineLvl w:val="0"/>
    </w:pPr>
    <w:rPr>
      <w:rFonts w:ascii="Liberation Serif" w:cs="Mangal" w:eastAsia="SimSun" w:hAnsi="Liberation Serif"/>
      <w:w w:val="100"/>
      <w:kern w:val="1"/>
      <w:position w:val="-1"/>
      <w:sz w:val="20"/>
      <w:szCs w:val="18"/>
      <w:effect w:val="none"/>
      <w:vertAlign w:val="baseline"/>
      <w:cs w:val="0"/>
      <w:em w:val="none"/>
      <w:lang w:bidi="hi-IN" w:eastAsia="zh-CN" w:val="pl-PL"/>
    </w:rPr>
  </w:style>
  <w:style w:type="character" w:styleId="TekstprzypisukońcowegoZnak">
    <w:name w:val="Tekst przypisu końcowego Znak"/>
    <w:next w:val="TekstprzypisukońcowegoZnak"/>
    <w:autoRedefine w:val="0"/>
    <w:hidden w:val="0"/>
    <w:qFormat w:val="0"/>
    <w:rPr>
      <w:rFonts w:ascii="Liberation Serif" w:cs="Mangal" w:eastAsia="SimSun" w:hAnsi="Liberation Serif"/>
      <w:w w:val="100"/>
      <w:kern w:val="1"/>
      <w:position w:val="-1"/>
      <w:szCs w:val="18"/>
      <w:effect w:val="none"/>
      <w:vertAlign w:val="baseline"/>
      <w:cs w:val="0"/>
      <w:em w:val="none"/>
      <w:lang w:bidi="hi-IN" w:eastAsia="zh-CN"/>
    </w:rPr>
  </w:style>
  <w:style w:type="character" w:styleId="Odwołanieprzypisukońcowego">
    <w:name w:val="Odwołanie przypisu końcowego"/>
    <w:next w:val="Odwołanieprzypisukońcowego"/>
    <w:autoRedefine w:val="0"/>
    <w:hidden w:val="0"/>
    <w:qFormat w:val="1"/>
    <w:rPr>
      <w:w w:val="100"/>
      <w:position w:val="-1"/>
      <w:effect w:val="none"/>
      <w:vertAlign w:val="superscript"/>
      <w:cs w:val="0"/>
      <w:em w:val="none"/>
      <w:lang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footnotes" Target="footnotes.xml"/><Relationship Id="rId11" Type="http://schemas.openxmlformats.org/officeDocument/2006/relationships/footer" Target="footer1.xml"/><Relationship Id="rId10" Type="http://schemas.openxmlformats.org/officeDocument/2006/relationships/header" Target="header1.xml"/><Relationship Id="rId9" Type="http://schemas.openxmlformats.org/officeDocument/2006/relationships/hyperlink" Target="https://inergis.pl/" TargetMode="External"/><Relationship Id="rId5" Type="http://schemas.openxmlformats.org/officeDocument/2006/relationships/numbering" Target="numbering.xml"/><Relationship Id="rId6" Type="http://schemas.openxmlformats.org/officeDocument/2006/relationships/styles" Target="styles.xml"/><Relationship Id="rId7" Type="http://schemas.openxmlformats.org/officeDocument/2006/relationships/customXml" Target="../customXML/item1.xml"/><Relationship Id="rId8" Type="http://schemas.openxmlformats.org/officeDocument/2006/relationships/hyperlink" Target="https://inergis.pl/" TargetMode="External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Tahoma-regular.ttf"/><Relationship Id="rId2" Type="http://schemas.openxmlformats.org/officeDocument/2006/relationships/font" Target="fonts/Tahoma-bold.ttf"/></Relationships>
</file>

<file path=word/_rels/footer1.xml.rels><?xml version="1.0" encoding="UTF-8" standalone="yes"?>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EETIw9EsHbg+IVqx7ooCu5LB6iw==">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2023-08-13T18:23:00Z</dcterms:created>
  <dc:creator>Natalia Wachelka</dc:creator>
</cp:coreProperties>
</file>

<file path=docProps/custom.xml><?xml version="1.0" encoding="utf-8"?>
<Properties xmlns="http://schemas.openxmlformats.org/officeDocument/2006/custom-properties" xmlns:vt="http://schemas.openxmlformats.org/officeDocument/2006/docPropsVTypes"/>
</file>