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8E00" w14:textId="77777777" w:rsidR="005A2537" w:rsidRPr="005A2537" w:rsidRDefault="005A2537" w:rsidP="005A2537">
      <w:pPr>
        <w:pStyle w:val="Nagwek1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Światło, które zostaje z projektem – jak wydłużona gwarancja zmienia myślenie o designie na lata</w:t>
      </w:r>
    </w:p>
    <w:p w14:paraId="3FC0A111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  <w:b/>
          <w:bCs/>
        </w:rPr>
      </w:pPr>
      <w:r w:rsidRPr="005A2537">
        <w:rPr>
          <w:rFonts w:asciiTheme="minorHAnsi" w:hAnsiTheme="minorHAnsi" w:cstheme="minorHAnsi"/>
          <w:b/>
          <w:bCs/>
        </w:rPr>
        <w:t>Współczesna architektura komercyjna traktuje oświetlenie jako integralny element projektu. To już nie tylko instalacja techniczna, ale także narzędzie budowania atmosfery, wizerunku i funkcjonalności przestrzeni. W biurowcach odpowiada za komfort pracy, w hotelach tworzy klimat sprzyjający relaksowi, a w galeriach handlowych – zachęca do dłuższych wizyt klientów. Dlatego projektanci coraz częściej poszukują rozwiązań, które zapewnią nie tylko estetykę, ale i trwałość w długiej perspektywie. Kluczowe staje się pytanie: jak długo światło w projekcie zachowa swoje pierwotne parametry i estetykę?</w:t>
      </w:r>
    </w:p>
    <w:p w14:paraId="5BEFE7CF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Długowieczne </w:t>
      </w:r>
      <w:r>
        <w:rPr>
          <w:rFonts w:asciiTheme="minorHAnsi" w:hAnsiTheme="minorHAnsi" w:cstheme="minorHAnsi"/>
        </w:rPr>
        <w:t xml:space="preserve">i energooszczędne </w:t>
      </w:r>
      <w:r w:rsidRPr="005A2537">
        <w:rPr>
          <w:rFonts w:asciiTheme="minorHAnsi" w:hAnsiTheme="minorHAnsi" w:cstheme="minorHAnsi"/>
        </w:rPr>
        <w:t>oświetlenie pozwala traktować światło jako stały element architektury – na równi z konstrukcją, elewacją czy wykończeniem wnętrz. To zmienia sposób myślenia o projektowaniu przestrzeni, ponieważ przestaje się je planować w perspektywie kilkuletniej, a zaczyna w horyzoncie dekady lub dłużej.</w:t>
      </w:r>
    </w:p>
    <w:p w14:paraId="1D9CD9DA" w14:textId="77777777" w:rsidR="005A2537" w:rsidRPr="00FA7B2B" w:rsidRDefault="005A2537" w:rsidP="00FA7B2B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FA7B2B">
        <w:rPr>
          <w:rFonts w:asciiTheme="minorHAnsi" w:hAnsiTheme="minorHAnsi" w:cstheme="minorHAnsi"/>
          <w:sz w:val="24"/>
          <w:szCs w:val="24"/>
        </w:rPr>
        <w:t>Wyzwania projektowe i starzenie się opraw</w:t>
      </w:r>
    </w:p>
    <w:p w14:paraId="255E3805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Jednym z najczęściej wskazywanych przez architektów </w:t>
      </w:r>
      <w:r w:rsidR="00FA7B2B" w:rsidRPr="005A2537">
        <w:rPr>
          <w:rFonts w:asciiTheme="minorHAnsi" w:hAnsiTheme="minorHAnsi" w:cstheme="minorHAnsi"/>
        </w:rPr>
        <w:t xml:space="preserve">problemów </w:t>
      </w:r>
      <w:r w:rsidRPr="005A2537">
        <w:rPr>
          <w:rFonts w:asciiTheme="minorHAnsi" w:hAnsiTheme="minorHAnsi" w:cstheme="minorHAnsi"/>
        </w:rPr>
        <w:t xml:space="preserve">jest starzenie się oświetlenia. Zmiana barwy światła, spadek jasności czy awarie poszczególnych opraw potrafią zburzyć spójność całego projektu. Szczególnie dotkliwe jest to w obiektach klasy </w:t>
      </w:r>
      <w:proofErr w:type="spellStart"/>
      <w:r w:rsidRPr="005A2537">
        <w:rPr>
          <w:rFonts w:asciiTheme="minorHAnsi" w:hAnsiTheme="minorHAnsi" w:cstheme="minorHAnsi"/>
        </w:rPr>
        <w:t>premium</w:t>
      </w:r>
      <w:proofErr w:type="spellEnd"/>
      <w:r w:rsidRPr="005A2537">
        <w:rPr>
          <w:rFonts w:asciiTheme="minorHAnsi" w:hAnsiTheme="minorHAnsi" w:cstheme="minorHAnsi"/>
        </w:rPr>
        <w:t>, gdzie liczy się każdy detal – jednolity kolor światła i równomierne oświetlenie stanowią fundament wizerunku.</w:t>
      </w:r>
    </w:p>
    <w:p w14:paraId="2A97D7A8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Wydłużona gwarancja rozwiązuje ten problem – daje pewność, że przez wiele lat światło będzie wyglądało tak samo jak w dniu oddania budynku do użytku. Projektanci zyskują większą swobodę w tworzeniu koncepcji, bo wiedzą, że oprawy nie stracą swoich właściwości po kilku latach intensywnej eksploatacji.</w:t>
      </w:r>
      <w:r w:rsidR="00FA7B2B">
        <w:rPr>
          <w:rFonts w:asciiTheme="minorHAnsi" w:hAnsiTheme="minorHAnsi" w:cstheme="minorHAnsi"/>
        </w:rPr>
        <w:t xml:space="preserve"> </w:t>
      </w:r>
    </w:p>
    <w:p w14:paraId="1E391895" w14:textId="447A551A" w:rsidR="005A2537" w:rsidRPr="005A2537" w:rsidRDefault="00FA7B2B" w:rsidP="005A2537">
      <w:pPr>
        <w:pStyle w:val="Normalny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r w:rsidR="00EE1791">
        <w:rPr>
          <w:rFonts w:asciiTheme="minorHAnsi" w:hAnsiTheme="minorHAnsi" w:cstheme="minorHAnsi"/>
        </w:rPr>
        <w:t xml:space="preserve">Poczucie bezpieczeństwa, jakie daje gwarancja, to jeden z istotnych czynników brany pod uwagę przy zakupie oświetlenia. Dlatego </w:t>
      </w:r>
      <w:r w:rsidR="005A2537" w:rsidRPr="005A2537">
        <w:rPr>
          <w:rFonts w:asciiTheme="minorHAnsi" w:hAnsiTheme="minorHAnsi" w:cstheme="minorHAnsi"/>
        </w:rPr>
        <w:t>7-letnia gwarancja</w:t>
      </w:r>
      <w:r w:rsidR="006A2792">
        <w:rPr>
          <w:rFonts w:asciiTheme="minorHAnsi" w:hAnsiTheme="minorHAnsi" w:cstheme="minorHAnsi"/>
        </w:rPr>
        <w:t xml:space="preserve">, której udzielamy </w:t>
      </w:r>
      <w:r w:rsidR="00EE1791">
        <w:rPr>
          <w:rFonts w:asciiTheme="minorHAnsi" w:hAnsiTheme="minorHAnsi" w:cstheme="minorHAnsi"/>
        </w:rPr>
        <w:t xml:space="preserve">obecnie na </w:t>
      </w:r>
      <w:r w:rsidR="00A561A7">
        <w:rPr>
          <w:rFonts w:asciiTheme="minorHAnsi" w:hAnsiTheme="minorHAnsi" w:cstheme="minorHAnsi"/>
        </w:rPr>
        <w:t>coraz szerszą gamę</w:t>
      </w:r>
      <w:r w:rsidR="005A2537" w:rsidRPr="005A2537">
        <w:rPr>
          <w:rFonts w:asciiTheme="minorHAnsi" w:hAnsiTheme="minorHAnsi" w:cstheme="minorHAnsi"/>
        </w:rPr>
        <w:t xml:space="preserve"> nasz</w:t>
      </w:r>
      <w:r w:rsidR="006A2792">
        <w:rPr>
          <w:rFonts w:asciiTheme="minorHAnsi" w:hAnsiTheme="minorHAnsi" w:cstheme="minorHAnsi"/>
        </w:rPr>
        <w:t>ych</w:t>
      </w:r>
      <w:r w:rsidR="005A2537" w:rsidRPr="005A2537">
        <w:rPr>
          <w:rFonts w:asciiTheme="minorHAnsi" w:hAnsiTheme="minorHAnsi" w:cstheme="minorHAnsi"/>
        </w:rPr>
        <w:t xml:space="preserve"> opraw</w:t>
      </w:r>
      <w:r w:rsidR="006A2792">
        <w:rPr>
          <w:rFonts w:asciiTheme="minorHAnsi" w:hAnsiTheme="minorHAnsi" w:cstheme="minorHAnsi"/>
        </w:rPr>
        <w:t>,</w:t>
      </w:r>
      <w:r w:rsidR="005A2537" w:rsidRPr="005A2537">
        <w:rPr>
          <w:rFonts w:asciiTheme="minorHAnsi" w:hAnsiTheme="minorHAnsi" w:cstheme="minorHAnsi"/>
        </w:rPr>
        <w:t xml:space="preserve"> pozwala projektantom traktować oświetlenie jako stały element architektury. Dzięki temu mogą oni budować wizje długofalowe, bez obawy, że za kilka lat całą przestrzeń trzeba będzie modernizować” – </w:t>
      </w:r>
      <w:r w:rsidR="006A2792">
        <w:rPr>
          <w:rFonts w:asciiTheme="minorHAnsi" w:hAnsiTheme="minorHAnsi" w:cstheme="minorHAnsi"/>
        </w:rPr>
        <w:t>po</w:t>
      </w:r>
      <w:r w:rsidR="00EE1791">
        <w:rPr>
          <w:rFonts w:asciiTheme="minorHAnsi" w:hAnsiTheme="minorHAnsi" w:cstheme="minorHAnsi"/>
        </w:rPr>
        <w:t>dkreśla</w:t>
      </w:r>
      <w:r w:rsidR="005A2537" w:rsidRPr="005A2537">
        <w:rPr>
          <w:rFonts w:asciiTheme="minorHAnsi" w:hAnsiTheme="minorHAnsi" w:cstheme="minorHAnsi"/>
        </w:rPr>
        <w:t xml:space="preserve"> </w:t>
      </w:r>
      <w:r w:rsidR="005864C9">
        <w:rPr>
          <w:rFonts w:asciiTheme="minorHAnsi" w:hAnsiTheme="minorHAnsi" w:cstheme="minorHAnsi"/>
        </w:rPr>
        <w:t>Przemysław Kowalczyk</w:t>
      </w:r>
      <w:r w:rsidR="005A2537" w:rsidRPr="005A2537">
        <w:rPr>
          <w:rFonts w:asciiTheme="minorHAnsi" w:hAnsiTheme="minorHAnsi" w:cstheme="minorHAnsi"/>
        </w:rPr>
        <w:t xml:space="preserve">, </w:t>
      </w:r>
      <w:r w:rsidR="005864C9">
        <w:rPr>
          <w:rFonts w:asciiTheme="minorHAnsi" w:hAnsiTheme="minorHAnsi" w:cstheme="minorHAnsi"/>
        </w:rPr>
        <w:t>CEO w</w:t>
      </w:r>
      <w:r w:rsidR="005A2537" w:rsidRPr="005A2537">
        <w:rPr>
          <w:rFonts w:asciiTheme="minorHAnsi" w:hAnsiTheme="minorHAnsi" w:cstheme="minorHAnsi"/>
        </w:rPr>
        <w:t xml:space="preserve"> </w:t>
      </w:r>
      <w:r w:rsidR="006A2792">
        <w:rPr>
          <w:rFonts w:asciiTheme="minorHAnsi" w:hAnsiTheme="minorHAnsi" w:cstheme="minorHAnsi"/>
        </w:rPr>
        <w:t xml:space="preserve">LED </w:t>
      </w:r>
      <w:proofErr w:type="spellStart"/>
      <w:r w:rsidR="006A2792">
        <w:rPr>
          <w:rFonts w:asciiTheme="minorHAnsi" w:hAnsiTheme="minorHAnsi" w:cstheme="minorHAnsi"/>
        </w:rPr>
        <w:t>line</w:t>
      </w:r>
      <w:proofErr w:type="spellEnd"/>
      <w:r w:rsidR="005A2537" w:rsidRPr="005A2537">
        <w:rPr>
          <w:rFonts w:asciiTheme="minorHAnsi" w:hAnsiTheme="minorHAnsi" w:cstheme="minorHAnsi"/>
        </w:rPr>
        <w:t>.</w:t>
      </w:r>
    </w:p>
    <w:p w14:paraId="0F70C9B9" w14:textId="77777777" w:rsidR="005A2537" w:rsidRPr="00EE1791" w:rsidRDefault="005A2537" w:rsidP="005A253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Stabilność parametrów świetlnych a spójność projektu</w:t>
      </w:r>
    </w:p>
    <w:p w14:paraId="74F77D85" w14:textId="241F9100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Żywotność nowoczesnych LED sięga nawet </w:t>
      </w:r>
      <w:r w:rsidR="003651D8">
        <w:rPr>
          <w:rFonts w:asciiTheme="minorHAnsi" w:hAnsiTheme="minorHAnsi" w:cstheme="minorHAnsi"/>
        </w:rPr>
        <w:t>10</w:t>
      </w:r>
      <w:r w:rsidRPr="005A2537">
        <w:rPr>
          <w:rFonts w:asciiTheme="minorHAnsi" w:hAnsiTheme="minorHAnsi" w:cstheme="minorHAnsi"/>
        </w:rPr>
        <w:t>0 tys. godzin, co przy typowym użytkowaniu oznacza</w:t>
      </w:r>
      <w:r w:rsidR="003651D8">
        <w:rPr>
          <w:rFonts w:asciiTheme="minorHAnsi" w:hAnsiTheme="minorHAnsi" w:cstheme="minorHAnsi"/>
        </w:rPr>
        <w:t xml:space="preserve"> ponad</w:t>
      </w:r>
      <w:r w:rsidRPr="005A2537">
        <w:rPr>
          <w:rFonts w:asciiTheme="minorHAnsi" w:hAnsiTheme="minorHAnsi" w:cstheme="minorHAnsi"/>
        </w:rPr>
        <w:t xml:space="preserve"> dekadę stabilnego świecenia. Wydłużona gwarancja potwierdza, że przez ten czas parametry takie jak barwa, natężenie czy współczynnik oddawania barw (CRI) pozostaną niezmienne.</w:t>
      </w:r>
    </w:p>
    <w:p w14:paraId="559743D0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To szczególnie ważne w projektach:</w:t>
      </w:r>
    </w:p>
    <w:p w14:paraId="27115D01" w14:textId="6A0A7C92" w:rsidR="005A2537" w:rsidRPr="005A2537" w:rsidRDefault="005A2537" w:rsidP="31A7D9B0">
      <w:pPr>
        <w:pStyle w:val="NormalnyWeb"/>
        <w:numPr>
          <w:ilvl w:val="0"/>
          <w:numId w:val="1"/>
        </w:numPr>
        <w:rPr>
          <w:rFonts w:asciiTheme="minorHAnsi" w:hAnsiTheme="minorHAnsi" w:cstheme="minorBidi"/>
        </w:rPr>
      </w:pPr>
      <w:r w:rsidRPr="31A7D9B0">
        <w:rPr>
          <w:rStyle w:val="Pogrubienie"/>
          <w:rFonts w:asciiTheme="minorHAnsi" w:hAnsiTheme="minorHAnsi" w:cstheme="minorBidi"/>
        </w:rPr>
        <w:t>hoteli</w:t>
      </w:r>
      <w:r w:rsidRPr="31A7D9B0">
        <w:rPr>
          <w:rFonts w:asciiTheme="minorHAnsi" w:hAnsiTheme="minorHAnsi" w:cstheme="minorBidi"/>
        </w:rPr>
        <w:t xml:space="preserve"> – gdzie odpowiednie światło </w:t>
      </w:r>
      <w:r w:rsidR="003651D8">
        <w:rPr>
          <w:rFonts w:asciiTheme="minorHAnsi" w:hAnsiTheme="minorHAnsi" w:cstheme="minorBidi"/>
        </w:rPr>
        <w:t xml:space="preserve">LED </w:t>
      </w:r>
      <w:r w:rsidRPr="31A7D9B0">
        <w:rPr>
          <w:rFonts w:asciiTheme="minorHAnsi" w:hAnsiTheme="minorHAnsi" w:cstheme="minorBidi"/>
        </w:rPr>
        <w:t>wpływa na atmosferę i komfort gości,</w:t>
      </w:r>
    </w:p>
    <w:p w14:paraId="6029AC0E" w14:textId="77777777" w:rsidR="005A2537" w:rsidRPr="005A2537" w:rsidRDefault="005A2537" w:rsidP="005A2537">
      <w:pPr>
        <w:pStyle w:val="NormalnyWeb"/>
        <w:numPr>
          <w:ilvl w:val="0"/>
          <w:numId w:val="1"/>
        </w:numPr>
        <w:rPr>
          <w:rFonts w:asciiTheme="minorHAnsi" w:hAnsiTheme="minorHAnsi" w:cstheme="minorHAnsi"/>
        </w:rPr>
      </w:pPr>
      <w:r w:rsidRPr="005A2537">
        <w:rPr>
          <w:rStyle w:val="Pogrubienie"/>
          <w:rFonts w:asciiTheme="minorHAnsi" w:hAnsiTheme="minorHAnsi" w:cstheme="minorHAnsi"/>
        </w:rPr>
        <w:lastRenderedPageBreak/>
        <w:t>biurowców klasy A</w:t>
      </w:r>
      <w:r w:rsidRPr="005A2537">
        <w:rPr>
          <w:rFonts w:asciiTheme="minorHAnsi" w:hAnsiTheme="minorHAnsi" w:cstheme="minorHAnsi"/>
        </w:rPr>
        <w:t xml:space="preserve"> – w których jakość oświetlenia przekłada się na produktywność i samopoczucie pracowników,</w:t>
      </w:r>
    </w:p>
    <w:p w14:paraId="39BA73DF" w14:textId="77777777" w:rsidR="005A2537" w:rsidRPr="005A2537" w:rsidRDefault="005A2537" w:rsidP="005A2537">
      <w:pPr>
        <w:pStyle w:val="NormalnyWeb"/>
        <w:numPr>
          <w:ilvl w:val="0"/>
          <w:numId w:val="1"/>
        </w:numPr>
        <w:rPr>
          <w:rFonts w:asciiTheme="minorHAnsi" w:hAnsiTheme="minorHAnsi" w:cstheme="minorHAnsi"/>
        </w:rPr>
      </w:pPr>
      <w:r w:rsidRPr="005A2537">
        <w:rPr>
          <w:rStyle w:val="Pogrubienie"/>
          <w:rFonts w:asciiTheme="minorHAnsi" w:hAnsiTheme="minorHAnsi" w:cstheme="minorHAnsi"/>
        </w:rPr>
        <w:t>centrów handlowych</w:t>
      </w:r>
      <w:r w:rsidRPr="005A2537">
        <w:rPr>
          <w:rFonts w:asciiTheme="minorHAnsi" w:hAnsiTheme="minorHAnsi" w:cstheme="minorHAnsi"/>
        </w:rPr>
        <w:t xml:space="preserve"> – gdzie światło buduje atrakcyjność przestrzeni sprzedażowych.</w:t>
      </w:r>
    </w:p>
    <w:p w14:paraId="40FC033C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Dzięki stabilności parametrów można tworzyć projekty spójne estetycznie i funkcjonalnie przez cały cykl życia budynku.</w:t>
      </w:r>
    </w:p>
    <w:p w14:paraId="1F14EABE" w14:textId="77777777" w:rsidR="005A2537" w:rsidRPr="00EE1791" w:rsidRDefault="005A2537" w:rsidP="005A253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Korzyści z perspektywy inwestora i zarządcy</w:t>
      </w:r>
    </w:p>
    <w:p w14:paraId="007E3B9E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Deweloperzy i zarządcy nieruchomości coraz częściej myślą w kategoriach długoterminowej wartości. Oświetlenie objęte siedmioletnią gwarancją to realne zabezpieczenie przed nieprzewidzianymi wydatkami.</w:t>
      </w:r>
    </w:p>
    <w:p w14:paraId="05C1BF8B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 dużych obiektach, gdzie zamontowanych jest kilkaset lub kilka tysięcy opraw, każdy przypadek awarii oznacza koszty serwisu i ryzyko zakłóceń w funkcjonowaniu przestrzeni. Wydłużona gwarancja eliminuje ten problem – przez wiele lat inwestor może być spokojny o stabilność instalacji i jej przewidywalne koszty utrzymania.</w:t>
      </w:r>
    </w:p>
    <w:p w14:paraId="74DDF23D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Dla zarządców to także </w:t>
      </w:r>
      <w:r w:rsidR="00EE1791">
        <w:rPr>
          <w:rFonts w:asciiTheme="minorHAnsi" w:hAnsiTheme="minorHAnsi" w:cstheme="minorHAnsi"/>
        </w:rPr>
        <w:t>„</w:t>
      </w:r>
      <w:r w:rsidRPr="005A2537">
        <w:rPr>
          <w:rFonts w:asciiTheme="minorHAnsi" w:hAnsiTheme="minorHAnsi" w:cstheme="minorHAnsi"/>
        </w:rPr>
        <w:t>narzędzie</w:t>
      </w:r>
      <w:r w:rsidR="00EE1791">
        <w:rPr>
          <w:rFonts w:asciiTheme="minorHAnsi" w:hAnsiTheme="minorHAnsi" w:cstheme="minorHAnsi"/>
        </w:rPr>
        <w:t>” negocjacyjne</w:t>
      </w:r>
      <w:r w:rsidRPr="005A2537">
        <w:rPr>
          <w:rFonts w:asciiTheme="minorHAnsi" w:hAnsiTheme="minorHAnsi" w:cstheme="minorHAnsi"/>
        </w:rPr>
        <w:t xml:space="preserve"> w rozmowach z najemcami. Budynek z trwałym, niezawodnym oświetleniem staje się atrakcyjniejszy, bo daje poczucie bezpieczeństwa i </w:t>
      </w:r>
      <w:r w:rsidR="00EE1791" w:rsidRPr="00EE1791">
        <w:rPr>
          <w:rFonts w:asciiTheme="minorHAnsi" w:hAnsiTheme="minorHAnsi" w:cstheme="minorHAnsi"/>
        </w:rPr>
        <w:t xml:space="preserve">gwarantuje utrzymanie wysokiego standardu przestrzeni przez wiele </w:t>
      </w:r>
      <w:r w:rsidR="00EE1791">
        <w:rPr>
          <w:rFonts w:asciiTheme="minorHAnsi" w:hAnsiTheme="minorHAnsi" w:cstheme="minorHAnsi"/>
        </w:rPr>
        <w:t xml:space="preserve">kolejnych </w:t>
      </w:r>
      <w:r w:rsidR="00EE1791" w:rsidRPr="00EE1791">
        <w:rPr>
          <w:rFonts w:asciiTheme="minorHAnsi" w:hAnsiTheme="minorHAnsi" w:cstheme="minorHAnsi"/>
        </w:rPr>
        <w:t>lat.</w:t>
      </w:r>
    </w:p>
    <w:p w14:paraId="01A30316" w14:textId="77777777" w:rsidR="005A2537" w:rsidRPr="00EE1791" w:rsidRDefault="005A2537" w:rsidP="005A253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Wpływ na certyfikacje i strategie ESG</w:t>
      </w:r>
    </w:p>
    <w:p w14:paraId="65BA0D06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Na rynku nieruchomości rośnie znaczenie certyfikacji środowiskowych, takich jak </w:t>
      </w:r>
      <w:r w:rsidRPr="00EE1791">
        <w:rPr>
          <w:rStyle w:val="Pogrubienie"/>
          <w:rFonts w:asciiTheme="minorHAnsi" w:hAnsiTheme="minorHAnsi" w:cstheme="minorHAnsi"/>
          <w:b w:val="0"/>
          <w:bCs w:val="0"/>
        </w:rPr>
        <w:t>BREEAM</w:t>
      </w:r>
      <w:r w:rsidRPr="00EE1791">
        <w:rPr>
          <w:rFonts w:asciiTheme="minorHAnsi" w:hAnsiTheme="minorHAnsi" w:cstheme="minorHAnsi"/>
          <w:b/>
          <w:bCs/>
        </w:rPr>
        <w:t xml:space="preserve"> </w:t>
      </w:r>
      <w:r w:rsidRPr="00EE1791">
        <w:rPr>
          <w:rFonts w:asciiTheme="minorHAnsi" w:hAnsiTheme="minorHAnsi" w:cstheme="minorHAnsi"/>
        </w:rPr>
        <w:t xml:space="preserve">czy </w:t>
      </w:r>
      <w:r w:rsidRPr="00EE1791">
        <w:rPr>
          <w:rStyle w:val="Pogrubienie"/>
          <w:rFonts w:asciiTheme="minorHAnsi" w:hAnsiTheme="minorHAnsi" w:cstheme="minorHAnsi"/>
          <w:b w:val="0"/>
          <w:bCs w:val="0"/>
        </w:rPr>
        <w:t>LEED</w:t>
      </w:r>
      <w:r w:rsidRPr="00EE1791">
        <w:rPr>
          <w:rFonts w:asciiTheme="minorHAnsi" w:hAnsiTheme="minorHAnsi" w:cstheme="minorHAnsi"/>
          <w:b/>
          <w:bCs/>
        </w:rPr>
        <w:t>,</w:t>
      </w:r>
      <w:r w:rsidRPr="005A2537">
        <w:rPr>
          <w:rFonts w:asciiTheme="minorHAnsi" w:hAnsiTheme="minorHAnsi" w:cstheme="minorHAnsi"/>
        </w:rPr>
        <w:t xml:space="preserve"> a także strategii ESG (</w:t>
      </w:r>
      <w:proofErr w:type="spellStart"/>
      <w:r w:rsidRPr="005A2537">
        <w:rPr>
          <w:rFonts w:asciiTheme="minorHAnsi" w:hAnsiTheme="minorHAnsi" w:cstheme="minorHAnsi"/>
        </w:rPr>
        <w:t>Environmental</w:t>
      </w:r>
      <w:proofErr w:type="spellEnd"/>
      <w:r w:rsidRPr="005A2537">
        <w:rPr>
          <w:rFonts w:asciiTheme="minorHAnsi" w:hAnsiTheme="minorHAnsi" w:cstheme="minorHAnsi"/>
        </w:rPr>
        <w:t xml:space="preserve">, </w:t>
      </w:r>
      <w:proofErr w:type="spellStart"/>
      <w:r w:rsidRPr="005A2537">
        <w:rPr>
          <w:rFonts w:asciiTheme="minorHAnsi" w:hAnsiTheme="minorHAnsi" w:cstheme="minorHAnsi"/>
        </w:rPr>
        <w:t>Social</w:t>
      </w:r>
      <w:proofErr w:type="spellEnd"/>
      <w:r w:rsidRPr="005A2537">
        <w:rPr>
          <w:rFonts w:asciiTheme="minorHAnsi" w:hAnsiTheme="minorHAnsi" w:cstheme="minorHAnsi"/>
        </w:rPr>
        <w:t xml:space="preserve">, </w:t>
      </w:r>
      <w:proofErr w:type="spellStart"/>
      <w:r w:rsidRPr="005A2537">
        <w:rPr>
          <w:rFonts w:asciiTheme="minorHAnsi" w:hAnsiTheme="minorHAnsi" w:cstheme="minorHAnsi"/>
        </w:rPr>
        <w:t>Governance</w:t>
      </w:r>
      <w:proofErr w:type="spellEnd"/>
      <w:r w:rsidRPr="005A2537">
        <w:rPr>
          <w:rFonts w:asciiTheme="minorHAnsi" w:hAnsiTheme="minorHAnsi" w:cstheme="minorHAnsi"/>
        </w:rPr>
        <w:t>). Wszystkie te systemy premiują trwałość i efektywność rozwiązań budynkowych.</w:t>
      </w:r>
    </w:p>
    <w:p w14:paraId="2D929B90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Długowieczne oświetlenie LED wspiera proces certyfikacji, </w:t>
      </w:r>
      <w:r w:rsidR="00EE1791">
        <w:rPr>
          <w:rFonts w:asciiTheme="minorHAnsi" w:hAnsiTheme="minorHAnsi" w:cstheme="minorHAnsi"/>
        </w:rPr>
        <w:t>ponieważ</w:t>
      </w:r>
      <w:r w:rsidRPr="005A2537">
        <w:rPr>
          <w:rFonts w:asciiTheme="minorHAnsi" w:hAnsiTheme="minorHAnsi" w:cstheme="minorHAnsi"/>
        </w:rPr>
        <w:t>:</w:t>
      </w:r>
    </w:p>
    <w:p w14:paraId="6C66B655" w14:textId="77777777" w:rsidR="005A2537" w:rsidRPr="005A2537" w:rsidRDefault="005A2537" w:rsidP="005A2537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redukuje zużycie energii,</w:t>
      </w:r>
    </w:p>
    <w:p w14:paraId="3B6DBE9C" w14:textId="77777777" w:rsidR="005A2537" w:rsidRPr="005A2537" w:rsidRDefault="005A2537" w:rsidP="005A2537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ogranicza liczbę odpadów związanych z wymianą opraw,</w:t>
      </w:r>
    </w:p>
    <w:p w14:paraId="7C363784" w14:textId="77777777" w:rsidR="005A2537" w:rsidRPr="005A2537" w:rsidRDefault="005A2537" w:rsidP="005A2537">
      <w:pPr>
        <w:pStyle w:val="NormalnyWeb"/>
        <w:numPr>
          <w:ilvl w:val="0"/>
          <w:numId w:val="2"/>
        </w:numPr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obniża emisję CO₂ w całym cyklu życia budynku.</w:t>
      </w:r>
    </w:p>
    <w:p w14:paraId="46FCC2C8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Wydłużona gwarancja stanowi dodatkowe potwierdzenie, że producent bierze odpowiedzialność za jakość i trwałość produktów. To ważny argument w rozmowach z inwestorami instytucjonalnymi, którzy coraz częściej analizują projekty również pod kątem spełniania wymogów ESG.</w:t>
      </w:r>
    </w:p>
    <w:p w14:paraId="69C947FF" w14:textId="77777777" w:rsidR="005A2537" w:rsidRPr="00EE1791" w:rsidRDefault="005A2537" w:rsidP="005A253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Nowe podejście do projektowania</w:t>
      </w:r>
    </w:p>
    <w:p w14:paraId="69DBFD91" w14:textId="31FA0A19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Długa gwarancja zmienia optykę projektantów. Skoro oprawy są objęte ochroną przez siedem lat, architekci mogą pozwolić sobie na bardziej ambitne, spójne projekty, bez obawy o ich szybką dezaktualizację.</w:t>
      </w:r>
      <w:r w:rsidR="00392C3F">
        <w:rPr>
          <w:rFonts w:asciiTheme="minorHAnsi" w:hAnsiTheme="minorHAnsi" w:cstheme="minorHAnsi"/>
        </w:rPr>
        <w:t xml:space="preserve"> </w:t>
      </w:r>
      <w:r w:rsidR="00392C3F" w:rsidRPr="00392C3F">
        <w:rPr>
          <w:rFonts w:asciiTheme="minorHAnsi" w:hAnsiTheme="minorHAnsi" w:cstheme="minorHAnsi"/>
        </w:rPr>
        <w:t>W Europie obserwujemy wyraźny trend projektowania oświetlenia w cyklach 10–15-letnich. To nie tylko kwestia estetyki, ale nowego podejścia do odpowiedzialności środowiskowej i trwałości budynków.</w:t>
      </w:r>
    </w:p>
    <w:p w14:paraId="65A925EA" w14:textId="4288DFDE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lastRenderedPageBreak/>
        <w:t xml:space="preserve">„Wydłużony okres gwarancji zmienia sposób myślenia o inwestycjach. Daje inwestorom i projektantom odwagę do stosowania rozwiązań </w:t>
      </w:r>
      <w:proofErr w:type="spellStart"/>
      <w:r w:rsidRPr="005A2537">
        <w:rPr>
          <w:rFonts w:asciiTheme="minorHAnsi" w:hAnsiTheme="minorHAnsi" w:cstheme="minorHAnsi"/>
        </w:rPr>
        <w:t>premium</w:t>
      </w:r>
      <w:proofErr w:type="spellEnd"/>
      <w:r w:rsidRPr="005A2537">
        <w:rPr>
          <w:rFonts w:asciiTheme="minorHAnsi" w:hAnsiTheme="minorHAnsi" w:cstheme="minorHAnsi"/>
        </w:rPr>
        <w:t xml:space="preserve">, które pozostaną z obiektem na lata. To nie tylko kwestia bezpieczeństwa finansowego, ale też budowania prestiżu nieruchomości” – </w:t>
      </w:r>
      <w:r w:rsidR="00EE1791">
        <w:rPr>
          <w:rFonts w:asciiTheme="minorHAnsi" w:hAnsiTheme="minorHAnsi" w:cstheme="minorHAnsi"/>
        </w:rPr>
        <w:t>zauważa</w:t>
      </w:r>
      <w:r w:rsidRPr="005A2537">
        <w:rPr>
          <w:rFonts w:asciiTheme="minorHAnsi" w:hAnsiTheme="minorHAnsi" w:cstheme="minorHAnsi"/>
        </w:rPr>
        <w:t xml:space="preserve"> </w:t>
      </w:r>
      <w:r w:rsidR="003651D8" w:rsidRPr="003651D8">
        <w:rPr>
          <w:rFonts w:asciiTheme="minorHAnsi" w:hAnsiTheme="minorHAnsi" w:cstheme="minorHAnsi"/>
        </w:rPr>
        <w:t xml:space="preserve">Michał Wójcicki, Dyrektor Handlowy w LED </w:t>
      </w:r>
      <w:proofErr w:type="spellStart"/>
      <w:r w:rsidR="003651D8" w:rsidRPr="003651D8">
        <w:rPr>
          <w:rFonts w:asciiTheme="minorHAnsi" w:hAnsiTheme="minorHAnsi" w:cstheme="minorHAnsi"/>
        </w:rPr>
        <w:t>line</w:t>
      </w:r>
      <w:proofErr w:type="spellEnd"/>
      <w:r w:rsidR="003651D8">
        <w:rPr>
          <w:rFonts w:asciiTheme="minorHAnsi" w:hAnsiTheme="minorHAnsi" w:cstheme="minorHAnsi"/>
        </w:rPr>
        <w:t xml:space="preserve">. </w:t>
      </w:r>
      <w:r w:rsidRPr="005A2537">
        <w:rPr>
          <w:rFonts w:asciiTheme="minorHAnsi" w:hAnsiTheme="minorHAnsi" w:cstheme="minorHAnsi"/>
        </w:rPr>
        <w:t>Takie podejście widać już w projektach nowoczesnych biurowców w Europie Zachodniej, gdzie oświetlenie projektuje się w horyzoncie 10–15 lat, uwzględniając jego rolę w kształtowaniu przestrzeni pracy, ale też wizerunku całej inwestycji.</w:t>
      </w:r>
    </w:p>
    <w:p w14:paraId="2520613E" w14:textId="77777777" w:rsidR="005A2537" w:rsidRPr="00EE1791" w:rsidRDefault="005A2537" w:rsidP="005A253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>Wartość dodana dla użytkowników</w:t>
      </w:r>
    </w:p>
    <w:p w14:paraId="663F5C31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 xml:space="preserve">Długowieczne oświetlenie to także korzyści bezpośrednio odczuwane przez użytkowników. Stabilne, jednolite światło sprzyja koncentracji, poprawia samopoczucie i wpływa na bezpieczeństwo. </w:t>
      </w:r>
      <w:r w:rsidR="00EE1791">
        <w:rPr>
          <w:rFonts w:asciiTheme="minorHAnsi" w:hAnsiTheme="minorHAnsi" w:cstheme="minorHAnsi"/>
        </w:rPr>
        <w:t>Liczne badania</w:t>
      </w:r>
      <w:r w:rsidRPr="005A2537">
        <w:rPr>
          <w:rFonts w:asciiTheme="minorHAnsi" w:hAnsiTheme="minorHAnsi" w:cstheme="minorHAnsi"/>
        </w:rPr>
        <w:t xml:space="preserve"> pokazują, że odpowiednie parametry światła mogą ograniczać zmęczenie wzroku, poprawiać rytm dobowy i zwiększać satysfakcję z pracy.</w:t>
      </w:r>
    </w:p>
    <w:p w14:paraId="27C0A762" w14:textId="6F45A929" w:rsidR="005A2537" w:rsidRPr="005A2537" w:rsidRDefault="005A2537" w:rsidP="31A7D9B0">
      <w:pPr>
        <w:pStyle w:val="NormalnyWeb"/>
        <w:rPr>
          <w:rFonts w:asciiTheme="minorHAnsi" w:hAnsiTheme="minorHAnsi" w:cstheme="minorBidi"/>
        </w:rPr>
      </w:pPr>
      <w:r w:rsidRPr="31A7D9B0">
        <w:rPr>
          <w:rFonts w:asciiTheme="minorHAnsi" w:hAnsiTheme="minorHAnsi" w:cstheme="minorBidi"/>
        </w:rPr>
        <w:t>W hotelach długotrwała jakość oświetlenia oznacza, że goście mogą doświadczać przestrzeni w takim samym standardzie zarówno w pierwszym, jak i w siódmym roku eksploatacji obiektu. W galeriach handlowych natomiast stabilność światła buduje pozytywne doświadczenie klienta i wspiera sprzedaż.</w:t>
      </w:r>
    </w:p>
    <w:p w14:paraId="24E21D71" w14:textId="77777777" w:rsidR="005A2537" w:rsidRPr="00EE1791" w:rsidRDefault="00EE1791" w:rsidP="005A253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E1791">
        <w:rPr>
          <w:rFonts w:asciiTheme="minorHAnsi" w:hAnsiTheme="minorHAnsi" w:cstheme="minorHAnsi"/>
          <w:sz w:val="24"/>
          <w:szCs w:val="24"/>
        </w:rPr>
        <w:t xml:space="preserve">Jasna strona inwestycji </w:t>
      </w:r>
    </w:p>
    <w:p w14:paraId="11902C6E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Wydłużona gwarancja na oświetlenie LED to nie tylko dodatkowy zapis w umowie. To realna zmiana w podejściu do projektowania i eksploatacji budynków. Światło staje się elementem architektury, który pozostaje z projektem na lata – stabilny, przewidywalny i wspierający wartość inwestycji.</w:t>
      </w:r>
    </w:p>
    <w:p w14:paraId="63052A29" w14:textId="77777777" w:rsidR="005A2537" w:rsidRPr="005A2537" w:rsidRDefault="005A2537" w:rsidP="005A2537">
      <w:pPr>
        <w:pStyle w:val="NormalnyWeb"/>
        <w:rPr>
          <w:rFonts w:asciiTheme="minorHAnsi" w:hAnsiTheme="minorHAnsi" w:cstheme="minorHAnsi"/>
        </w:rPr>
      </w:pPr>
      <w:r w:rsidRPr="005A2537">
        <w:rPr>
          <w:rFonts w:asciiTheme="minorHAnsi" w:hAnsiTheme="minorHAnsi" w:cstheme="minorHAnsi"/>
        </w:rPr>
        <w:t>Dla projektantów oznacza to większą swobodę tworzenia długofalowych koncepcji. Dla inwestorów – bezpieczeństwo finansowe i przewidywalność kosztów. Dla użytkowników – komfort i jakość codziennego funkcjonowania. A dla rynku – krok w stronę bardziej zrównoważonego, odpowiedzialnego budownictwa.</w:t>
      </w:r>
    </w:p>
    <w:p w14:paraId="1D5E68E9" w14:textId="77777777" w:rsidR="006F726E" w:rsidRDefault="006F726E">
      <w:pPr>
        <w:rPr>
          <w:rFonts w:cstheme="minorHAnsi"/>
        </w:rPr>
      </w:pPr>
    </w:p>
    <w:sectPr w:rsidR="006F7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A6041"/>
    <w:multiLevelType w:val="multilevel"/>
    <w:tmpl w:val="ACDC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242D45"/>
    <w:multiLevelType w:val="multilevel"/>
    <w:tmpl w:val="ED24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4400875">
    <w:abstractNumId w:val="1"/>
  </w:num>
  <w:num w:numId="2" w16cid:durableId="20522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37"/>
    <w:rsid w:val="00081DBD"/>
    <w:rsid w:val="00246562"/>
    <w:rsid w:val="003651D8"/>
    <w:rsid w:val="00391BF2"/>
    <w:rsid w:val="00392C3F"/>
    <w:rsid w:val="0047051C"/>
    <w:rsid w:val="005864C9"/>
    <w:rsid w:val="005A2537"/>
    <w:rsid w:val="00623F9B"/>
    <w:rsid w:val="006A2792"/>
    <w:rsid w:val="006F726E"/>
    <w:rsid w:val="007F587E"/>
    <w:rsid w:val="009E6D71"/>
    <w:rsid w:val="00A519C1"/>
    <w:rsid w:val="00A561A7"/>
    <w:rsid w:val="00AB5E4D"/>
    <w:rsid w:val="00D03B87"/>
    <w:rsid w:val="00DF78E0"/>
    <w:rsid w:val="00E033E3"/>
    <w:rsid w:val="00E14968"/>
    <w:rsid w:val="00E8590A"/>
    <w:rsid w:val="00EE1791"/>
    <w:rsid w:val="00F205FD"/>
    <w:rsid w:val="00FA7B2B"/>
    <w:rsid w:val="110942A2"/>
    <w:rsid w:val="21FC974B"/>
    <w:rsid w:val="31A7D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FA47"/>
  <w15:chartTrackingRefBased/>
  <w15:docId w15:val="{687C2ED4-3372-2E48-AA3E-91AA9BB2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25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A25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5A253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A253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5A2537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5A253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A25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A253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6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4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64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3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3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46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8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4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14</cp:revision>
  <dcterms:created xsi:type="dcterms:W3CDTF">2025-10-09T18:40:00Z</dcterms:created>
  <dcterms:modified xsi:type="dcterms:W3CDTF">2025-10-14T06:55:00Z</dcterms:modified>
</cp:coreProperties>
</file>