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BB6CE" w14:textId="77777777" w:rsidR="00157450" w:rsidRPr="002A7004" w:rsidRDefault="00157450" w:rsidP="00157450">
      <w:pPr>
        <w:spacing w:before="100" w:beforeAutospacing="1" w:after="100" w:afterAutospacing="1"/>
        <w:jc w:val="both"/>
        <w:outlineLvl w:val="2"/>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Światło przyjazne środowisku – rzetelny przewodnik po nowoczesnym oświetleniu</w:t>
      </w:r>
    </w:p>
    <w:p w14:paraId="3080CBE3" w14:textId="77777777" w:rsidR="00157450" w:rsidRPr="002A7004" w:rsidRDefault="00157450" w:rsidP="00157450">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Modernizacja oświetlenia stała się jednym z najprostszych sposobów ograniczania zużycia energii w budynkach i przestrzeni publicznej. Wynika to nie tylko z gwałtownego rozwoju technologii diodowych, lecz także z coraz bardziej wyśrubowanych wymagań prawnych. Komisja Europejska przyjęła rozporządzenie (UE) 2019/2020, które podnosi minimalną sprawność świetlną źródeł, usuwa z rynku najmniej efektywne produkty i zobowiązuje producentów do przejrzystego raportowania paramet</w:t>
      </w:r>
      <w:r>
        <w:rPr>
          <w:rFonts w:eastAsia="Times New Roman" w:cs="Times New Roman"/>
          <w:color w:val="000000"/>
          <w:spacing w:val="0"/>
          <w:sz w:val="20"/>
          <w:szCs w:val="20"/>
          <w:lang w:eastAsia="pl-PL"/>
        </w:rPr>
        <w:t>rów</w:t>
      </w:r>
      <w:r w:rsidRPr="002A7004">
        <w:rPr>
          <w:rFonts w:eastAsia="Times New Roman" w:cs="Times New Roman"/>
          <w:color w:val="000000"/>
          <w:spacing w:val="0"/>
          <w:sz w:val="20"/>
          <w:szCs w:val="20"/>
          <w:lang w:eastAsia="pl-PL"/>
        </w:rPr>
        <w:t xml:space="preserve">. Dzięki temu decyzje inwestorów oraz użytkowników końcowych mogą być podejmowane na podstawie danych potwierdzonych niezależnymi pomiarami. Równolegle rośnie presja społeczna na ograniczanie śladu węglowego i zanieczyszczenia świetlnego; miasta dołączają do programów „Dark </w:t>
      </w:r>
      <w:proofErr w:type="spellStart"/>
      <w:r w:rsidRPr="002A7004">
        <w:rPr>
          <w:rFonts w:eastAsia="Times New Roman" w:cs="Times New Roman"/>
          <w:color w:val="000000"/>
          <w:spacing w:val="0"/>
          <w:sz w:val="20"/>
          <w:szCs w:val="20"/>
          <w:lang w:eastAsia="pl-PL"/>
        </w:rPr>
        <w:t>Sky</w:t>
      </w:r>
      <w:proofErr w:type="spellEnd"/>
      <w:r w:rsidRPr="002A7004">
        <w:rPr>
          <w:rFonts w:eastAsia="Times New Roman" w:cs="Times New Roman"/>
          <w:color w:val="000000"/>
          <w:spacing w:val="0"/>
          <w:sz w:val="20"/>
          <w:szCs w:val="20"/>
          <w:lang w:eastAsia="pl-PL"/>
        </w:rPr>
        <w:t>”, a firmy zabiegają o certyfikaty ESG. W tym kontekście artykuł przedstawia aktualny stan wiedzy na temat LED-ów, metod ich oceny oraz praktyk projektowych, które pozwalają świecić jaśniej, a jednocześnie… mądrzej.</w:t>
      </w:r>
    </w:p>
    <w:p w14:paraId="581A8F24" w14:textId="77777777" w:rsidR="00157450" w:rsidRPr="001C52BE" w:rsidRDefault="00157450" w:rsidP="00157450">
      <w:pPr>
        <w:spacing w:before="100" w:beforeAutospacing="1" w:after="100" w:afterAutospacing="1"/>
        <w:jc w:val="both"/>
        <w:outlineLvl w:val="3"/>
        <w:rPr>
          <w:rFonts w:eastAsia="Times New Roman" w:cs="Times New Roman"/>
          <w:b/>
          <w:bCs/>
          <w:color w:val="000000"/>
          <w:spacing w:val="0"/>
          <w:sz w:val="20"/>
          <w:szCs w:val="20"/>
          <w:lang w:eastAsia="pl-PL"/>
        </w:rPr>
      </w:pPr>
      <w:r w:rsidRPr="001C52BE">
        <w:rPr>
          <w:rFonts w:eastAsia="Times New Roman" w:cs="Times New Roman"/>
          <w:b/>
          <w:bCs/>
          <w:color w:val="000000"/>
          <w:spacing w:val="0"/>
          <w:sz w:val="20"/>
          <w:szCs w:val="20"/>
          <w:lang w:eastAsia="pl-PL"/>
        </w:rPr>
        <w:t>Energooszczędność LED-ów – fakty i liczby</w:t>
      </w:r>
    </w:p>
    <w:p w14:paraId="0DF24374" w14:textId="77777777" w:rsidR="00157450" w:rsidRDefault="00157450" w:rsidP="00157450">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 xml:space="preserve">Kluczową miarą efektywności źródła światła jest strumień świetlny przypadający na jednostkę mocy. Najlepsze komponenty dostępne w handlu osiągają obecnie od 120 do 180 lm/W </w:t>
      </w:r>
      <w:proofErr w:type="spellStart"/>
      <w:r w:rsidRPr="002A7004">
        <w:rPr>
          <w:rFonts w:eastAsia="Times New Roman" w:cs="Times New Roman"/>
          <w:color w:val="000000"/>
          <w:spacing w:val="0"/>
          <w:sz w:val="20"/>
          <w:szCs w:val="20"/>
          <w:lang w:eastAsia="pl-PL"/>
        </w:rPr>
        <w:t>w</w:t>
      </w:r>
      <w:proofErr w:type="spellEnd"/>
      <w:r w:rsidRPr="002A7004">
        <w:rPr>
          <w:rFonts w:eastAsia="Times New Roman" w:cs="Times New Roman"/>
          <w:color w:val="000000"/>
          <w:spacing w:val="0"/>
          <w:sz w:val="20"/>
          <w:szCs w:val="20"/>
          <w:lang w:eastAsia="pl-PL"/>
        </w:rPr>
        <w:t xml:space="preserve"> barwie neutralnej, a wybrane moduły wyspecjalizowanych marek przekraczają 200 lm/W</w:t>
      </w:r>
      <w:r>
        <w:rPr>
          <w:rFonts w:eastAsia="Times New Roman" w:cs="Times New Roman"/>
          <w:color w:val="000000"/>
          <w:spacing w:val="0"/>
          <w:sz w:val="20"/>
          <w:szCs w:val="20"/>
          <w:lang w:eastAsia="pl-PL"/>
        </w:rPr>
        <w:t xml:space="preserve">. </w:t>
      </w:r>
      <w:r w:rsidRPr="002A7004">
        <w:rPr>
          <w:rFonts w:eastAsia="Times New Roman" w:cs="Times New Roman"/>
          <w:color w:val="000000"/>
          <w:spacing w:val="0"/>
          <w:sz w:val="20"/>
          <w:szCs w:val="20"/>
          <w:lang w:eastAsia="pl-PL"/>
        </w:rPr>
        <w:t xml:space="preserve">W warunkach laboratoryjnych odnotowano już rekordy rzędu 275-303 lm/W przy obniżonym prądzie zasilania, co wyznacza jasny kierunek rozwoju branży. </w:t>
      </w:r>
    </w:p>
    <w:p w14:paraId="221277C8" w14:textId="77777777" w:rsidR="00157450" w:rsidRPr="002A7004" w:rsidRDefault="00157450" w:rsidP="00157450">
      <w:pPr>
        <w:spacing w:before="100" w:beforeAutospacing="1" w:after="100" w:afterAutospacing="1"/>
        <w:jc w:val="both"/>
        <w:rPr>
          <w:rFonts w:eastAsia="Times New Roman" w:cs="Times New Roman"/>
          <w:color w:val="000000"/>
          <w:spacing w:val="0"/>
          <w:sz w:val="20"/>
          <w:szCs w:val="20"/>
          <w:lang w:eastAsia="pl-PL"/>
        </w:rPr>
      </w:pPr>
      <w:r>
        <w:rPr>
          <w:rFonts w:eastAsia="Times New Roman" w:cs="Times New Roman"/>
          <w:color w:val="000000"/>
          <w:spacing w:val="0"/>
          <w:sz w:val="20"/>
          <w:szCs w:val="20"/>
          <w:lang w:eastAsia="pl-PL"/>
        </w:rPr>
        <w:t xml:space="preserve">- </w:t>
      </w:r>
      <w:r w:rsidRPr="002A7004">
        <w:rPr>
          <w:rFonts w:eastAsia="Times New Roman" w:cs="Times New Roman"/>
          <w:color w:val="000000"/>
          <w:spacing w:val="0"/>
          <w:sz w:val="20"/>
          <w:szCs w:val="20"/>
          <w:lang w:eastAsia="pl-PL"/>
        </w:rPr>
        <w:t>Dla porównania tradycyjna żarówka wolframowa generuje około 15 lm/W, a świetlówka T8 – 70-90 lm/W. Rachunek jest prosty: wymiana starego oświetlenia na oprawy LED zmniejsza zapotrzebowanie na energię nawet o 80 procent, a w realizacjach przemysłowych bywa, że zwrot nakładów następuje w czasie krótszym niż 18 miesięcy. Warto przy tym pamiętać, że sama dioda odpowiada tylko za część strat; to projekt optyki, radiatora i zasilacza decydują, ile lumenów faktycznie opuszcza oprawę i trafia do pola roboczego</w:t>
      </w:r>
      <w:r>
        <w:rPr>
          <w:rFonts w:eastAsia="Times New Roman" w:cs="Times New Roman"/>
          <w:color w:val="000000"/>
          <w:spacing w:val="0"/>
          <w:sz w:val="20"/>
          <w:szCs w:val="20"/>
          <w:lang w:eastAsia="pl-PL"/>
        </w:rPr>
        <w:t xml:space="preserve"> - </w:t>
      </w:r>
      <w:r w:rsidRPr="00EA0405">
        <w:rPr>
          <w:rFonts w:eastAsia="Times New Roman" w:cs="Times New Roman"/>
          <w:color w:val="000000"/>
          <w:spacing w:val="0"/>
          <w:sz w:val="20"/>
          <w:szCs w:val="20"/>
          <w:lang w:eastAsia="pl-PL"/>
        </w:rPr>
        <w:t xml:space="preserve">wyjaśnia Norbert Chrzanowski, Dyrektor Techniczny w firmie </w:t>
      </w:r>
      <w:proofErr w:type="spellStart"/>
      <w:r w:rsidRPr="00EA0405">
        <w:rPr>
          <w:rFonts w:eastAsia="Times New Roman" w:cs="Times New Roman"/>
          <w:color w:val="000000"/>
          <w:spacing w:val="0"/>
          <w:sz w:val="20"/>
          <w:szCs w:val="20"/>
          <w:lang w:eastAsia="pl-PL"/>
        </w:rPr>
        <w:t>LedLine</w:t>
      </w:r>
      <w:proofErr w:type="spellEnd"/>
      <w:r>
        <w:rPr>
          <w:rFonts w:eastAsia="Times New Roman" w:cs="Times New Roman"/>
          <w:color w:val="000000"/>
          <w:spacing w:val="0"/>
          <w:sz w:val="20"/>
          <w:szCs w:val="20"/>
          <w:lang w:eastAsia="pl-PL"/>
        </w:rPr>
        <w:t xml:space="preserve">. </w:t>
      </w:r>
    </w:p>
    <w:p w14:paraId="398A07CD" w14:textId="77777777" w:rsidR="00157450" w:rsidRPr="002A7004" w:rsidRDefault="00157450" w:rsidP="00157450">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Żywotność i niezawodność – co kryje skrót L70?</w:t>
      </w:r>
    </w:p>
    <w:p w14:paraId="7F5A1CA2" w14:textId="77777777" w:rsidR="00157450" w:rsidRPr="002A7004" w:rsidRDefault="00157450" w:rsidP="00157450">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 xml:space="preserve">Branża LED przyjęła uniwersalny wskaźnik L70 oznaczający moment, w którym strumień świetlny spada do 70 procent wartości początkowej. Produkty klasy profesjonalnej deklarują L70 ≥ 50 000 h, co w praktyce przekłada się na ponad 17 lat pracy przy ośmiogodzinnym świeceniu każdego dnia. Najwyższej jakości układy COB uzyskują w testach </w:t>
      </w:r>
      <w:proofErr w:type="spellStart"/>
      <w:r w:rsidRPr="002A7004">
        <w:rPr>
          <w:rFonts w:eastAsia="Times New Roman" w:cs="Times New Roman"/>
          <w:color w:val="000000"/>
          <w:spacing w:val="0"/>
          <w:sz w:val="20"/>
          <w:szCs w:val="20"/>
          <w:lang w:eastAsia="pl-PL"/>
        </w:rPr>
        <w:t>extrapolowanych</w:t>
      </w:r>
      <w:proofErr w:type="spellEnd"/>
      <w:r w:rsidRPr="002A7004">
        <w:rPr>
          <w:rFonts w:eastAsia="Times New Roman" w:cs="Times New Roman"/>
          <w:color w:val="000000"/>
          <w:spacing w:val="0"/>
          <w:sz w:val="20"/>
          <w:szCs w:val="20"/>
          <w:lang w:eastAsia="pl-PL"/>
        </w:rPr>
        <w:t xml:space="preserve"> metodą TM-21 nawet L70 = 100 000 h, jednak warto zwrócić uwagę, że realna trwałość zależy od temperatury złącza, stabilności zasilania i warunków środowiskowych. W odróżnieniu od lamp fluorescencyjnych diody nie gasną nagle; światło stopniowo słabnie, co ułatwia planowanie serwisu i budżetowanie wymian. Wbudowane układy sterujące (DALI-2 lub NFC) potrafią z wyprzedzeniem sygnalizować pogorszenie parametrów oraz gromadzić historię pracy</w:t>
      </w:r>
      <w:r>
        <w:rPr>
          <w:rFonts w:eastAsia="Times New Roman" w:cs="Times New Roman"/>
          <w:color w:val="000000"/>
          <w:spacing w:val="0"/>
          <w:sz w:val="20"/>
          <w:szCs w:val="20"/>
          <w:lang w:eastAsia="pl-PL"/>
        </w:rPr>
        <w:t>.</w:t>
      </w:r>
    </w:p>
    <w:p w14:paraId="3F0978E6" w14:textId="77777777" w:rsidR="00157450" w:rsidRPr="002A7004" w:rsidRDefault="00157450" w:rsidP="00157450">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Wiarygodność danych fotometrycznych</w:t>
      </w:r>
    </w:p>
    <w:p w14:paraId="696FE7BE" w14:textId="77777777" w:rsidR="00157450" w:rsidRPr="00102515" w:rsidRDefault="00157450" w:rsidP="00157450">
      <w:pPr>
        <w:pStyle w:val="NormalnyWeb"/>
        <w:jc w:val="both"/>
        <w:rPr>
          <w:rFonts w:ascii="Montserrat" w:hAnsi="Montserrat"/>
          <w:color w:val="000000"/>
          <w:sz w:val="20"/>
          <w:szCs w:val="20"/>
        </w:rPr>
      </w:pPr>
      <w:r w:rsidRPr="00102515">
        <w:rPr>
          <w:rFonts w:ascii="Montserrat" w:hAnsi="Montserrat"/>
          <w:color w:val="000000"/>
          <w:sz w:val="20"/>
          <w:szCs w:val="20"/>
        </w:rPr>
        <w:t>Norma EN 13032-4 nadal pozostaje podstawą do rzetelnego pomiaru i prezentacji strumienia świetlnego oprawy, jej sprawności oraz rozsyłu światłości. Równie ważne jest jednak rozróżnienie</w:t>
      </w:r>
      <w:r w:rsidRPr="00102515">
        <w:rPr>
          <w:rStyle w:val="apple-converted-space"/>
          <w:rFonts w:ascii="Montserrat" w:hAnsi="Montserrat"/>
          <w:color w:val="000000"/>
          <w:sz w:val="20"/>
          <w:szCs w:val="20"/>
        </w:rPr>
        <w:t> </w:t>
      </w:r>
      <w:r w:rsidRPr="00102515">
        <w:rPr>
          <w:rStyle w:val="Pogrubienie"/>
          <w:rFonts w:ascii="Montserrat" w:hAnsi="Montserrat"/>
          <w:color w:val="000000"/>
          <w:sz w:val="20"/>
          <w:szCs w:val="20"/>
        </w:rPr>
        <w:t>dwóch odrębnych produktów</w:t>
      </w:r>
      <w:r w:rsidRPr="00102515">
        <w:rPr>
          <w:rFonts w:ascii="Montserrat" w:hAnsi="Montserrat"/>
          <w:color w:val="000000"/>
          <w:sz w:val="20"/>
          <w:szCs w:val="20"/>
        </w:rPr>
        <w:t>:</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źródła światła</w:t>
      </w:r>
      <w:r w:rsidRPr="00102515">
        <w:rPr>
          <w:rStyle w:val="apple-converted-space"/>
          <w:rFonts w:ascii="Montserrat" w:hAnsi="Montserrat"/>
          <w:color w:val="000000"/>
          <w:sz w:val="20"/>
          <w:szCs w:val="20"/>
        </w:rPr>
        <w:t> </w:t>
      </w:r>
      <w:r w:rsidRPr="00102515">
        <w:rPr>
          <w:rFonts w:ascii="Montserrat" w:hAnsi="Montserrat"/>
          <w:color w:val="000000"/>
          <w:sz w:val="20"/>
          <w:szCs w:val="20"/>
        </w:rPr>
        <w:t xml:space="preserve">(np. </w:t>
      </w:r>
      <w:r>
        <w:rPr>
          <w:rFonts w:ascii="Montserrat" w:hAnsi="Montserrat"/>
          <w:color w:val="000000"/>
          <w:sz w:val="20"/>
          <w:szCs w:val="20"/>
        </w:rPr>
        <w:t>żarówki LED lub modułu LED</w:t>
      </w:r>
      <w:r w:rsidRPr="00102515">
        <w:rPr>
          <w:rFonts w:ascii="Montserrat" w:hAnsi="Montserrat"/>
          <w:color w:val="000000"/>
          <w:sz w:val="20"/>
          <w:szCs w:val="20"/>
        </w:rPr>
        <w:t>) i</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produktu wyposażonego</w:t>
      </w:r>
      <w:r w:rsidRPr="00102515">
        <w:rPr>
          <w:rStyle w:val="apple-converted-space"/>
          <w:rFonts w:ascii="Montserrat" w:hAnsi="Montserrat"/>
          <w:color w:val="000000"/>
          <w:sz w:val="20"/>
          <w:szCs w:val="20"/>
        </w:rPr>
        <w:t> </w:t>
      </w:r>
      <w:r w:rsidRPr="00102515">
        <w:rPr>
          <w:rFonts w:ascii="Montserrat" w:hAnsi="Montserrat"/>
          <w:color w:val="000000"/>
          <w:sz w:val="20"/>
          <w:szCs w:val="20"/>
        </w:rPr>
        <w:t>– czyli kompletnej oprawy, w której takie źródło jest zamontowane. Komisja Europejska, wprowadzając rozporządzenie (UE) 2019/2015, zdecydowała o wycofaniu etykiety energetycznej przeznaczonej dla opraw; od 25 grudnia 2019 r. obowiązek etykietowania dotyczy wyłącznie samych źródeł światła, niezależnie od tego, czy są sprzedawane osobno, czy wbudowane w oprawę</w:t>
      </w:r>
      <w:r>
        <w:rPr>
          <w:rStyle w:val="apple-converted-space"/>
          <w:rFonts w:ascii="Montserrat" w:hAnsi="Montserrat"/>
          <w:color w:val="000000"/>
          <w:sz w:val="20"/>
          <w:szCs w:val="20"/>
        </w:rPr>
        <w:t>.</w:t>
      </w:r>
    </w:p>
    <w:p w14:paraId="051A5C36" w14:textId="77777777" w:rsidR="00157450" w:rsidRPr="00102515" w:rsidRDefault="00157450" w:rsidP="00157450">
      <w:pPr>
        <w:pStyle w:val="NormalnyWeb"/>
        <w:jc w:val="both"/>
        <w:rPr>
          <w:rFonts w:ascii="Montserrat" w:hAnsi="Montserrat"/>
          <w:color w:val="000000"/>
          <w:sz w:val="20"/>
          <w:szCs w:val="20"/>
        </w:rPr>
      </w:pPr>
      <w:r w:rsidRPr="00102515">
        <w:rPr>
          <w:rFonts w:ascii="Montserrat" w:hAnsi="Montserrat"/>
          <w:color w:val="000000"/>
          <w:sz w:val="20"/>
          <w:szCs w:val="20"/>
        </w:rPr>
        <w:lastRenderedPageBreak/>
        <w:t xml:space="preserve">Oznacza to, że klasa efektywności energetycznej, którą znajdziemy na pudełku lub tabliczce znamionowej </w:t>
      </w:r>
      <w:r w:rsidRPr="00102515">
        <w:rPr>
          <w:rFonts w:ascii="Montserrat" w:hAnsi="Montserrat"/>
          <w:i/>
          <w:iCs/>
          <w:color w:val="000000"/>
          <w:sz w:val="20"/>
          <w:szCs w:val="20"/>
        </w:rPr>
        <w:t>produktu wyposażonego w źródło światła</w:t>
      </w:r>
      <w:r w:rsidRPr="00102515">
        <w:rPr>
          <w:rFonts w:ascii="Montserrat" w:hAnsi="Montserrat"/>
          <w:color w:val="000000"/>
          <w:sz w:val="20"/>
          <w:szCs w:val="20"/>
        </w:rPr>
        <w:t>, odnosi się wyłącznie do zainstalowanego wewnątrz źródła. Nie opisuje ona całkowitej sprawności oprawy ani jej strumienia wyjściowego, ponieważ ten zależy od jakości układu optycznego, transmisji klosza oraz strat termicznych. Producent może – lecz nie musi – powtórzyć etykietę na samej oprawie; jeśli to zrobi, etykieta nadal reprezentuje wyłącznie parametry źródła, a nie gotowej oprawy</w:t>
      </w:r>
      <w:r>
        <w:rPr>
          <w:rStyle w:val="apple-converted-space"/>
          <w:rFonts w:ascii="Montserrat" w:hAnsi="Montserrat"/>
          <w:color w:val="000000"/>
          <w:sz w:val="20"/>
          <w:szCs w:val="20"/>
        </w:rPr>
        <w:t xml:space="preserve">. Należy więc zwrócić uwagę na podany strumień świetlny[lm] czy dotyczy całego produktu. </w:t>
      </w:r>
      <w:r w:rsidRPr="00102515">
        <w:rPr>
          <w:rFonts w:ascii="Montserrat" w:hAnsi="Montserrat"/>
          <w:color w:val="000000"/>
          <w:sz w:val="20"/>
          <w:szCs w:val="20"/>
        </w:rPr>
        <w:t xml:space="preserve"> </w:t>
      </w:r>
    </w:p>
    <w:p w14:paraId="5F504494" w14:textId="77777777" w:rsidR="00157450" w:rsidRPr="00102515" w:rsidRDefault="00157450" w:rsidP="00157450">
      <w:pPr>
        <w:pStyle w:val="NormalnyWeb"/>
        <w:jc w:val="both"/>
        <w:rPr>
          <w:rFonts w:ascii="Montserrat" w:hAnsi="Montserrat"/>
          <w:color w:val="000000"/>
          <w:sz w:val="20"/>
          <w:szCs w:val="20"/>
        </w:rPr>
      </w:pPr>
      <w:r w:rsidRPr="00102515">
        <w:rPr>
          <w:rFonts w:ascii="Montserrat" w:hAnsi="Montserrat"/>
          <w:color w:val="000000"/>
          <w:sz w:val="20"/>
          <w:szCs w:val="20"/>
        </w:rPr>
        <w:t>W praktyce, aby porównać dwa rozwiązania oświetleniowe, należy więc żądać pełnego raportu fotometrycznego (IES/LDT) i sprawdzać tam</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skuteczność oprawy</w:t>
      </w:r>
      <w:r w:rsidRPr="00102515">
        <w:rPr>
          <w:rStyle w:val="apple-converted-space"/>
          <w:rFonts w:ascii="Montserrat" w:hAnsi="Montserrat"/>
          <w:color w:val="000000"/>
          <w:sz w:val="20"/>
          <w:szCs w:val="20"/>
        </w:rPr>
        <w:t> </w:t>
      </w:r>
      <w:r w:rsidRPr="00102515">
        <w:rPr>
          <w:rFonts w:ascii="Montserrat" w:hAnsi="Montserrat"/>
          <w:color w:val="000000"/>
          <w:sz w:val="20"/>
          <w:szCs w:val="20"/>
        </w:rPr>
        <w:t>[lm/W] oraz</w:t>
      </w:r>
      <w:r w:rsidRPr="00102515">
        <w:rPr>
          <w:rStyle w:val="apple-converted-space"/>
          <w:rFonts w:ascii="Montserrat" w:hAnsi="Montserrat"/>
          <w:color w:val="000000"/>
          <w:sz w:val="20"/>
          <w:szCs w:val="20"/>
        </w:rPr>
        <w:t> </w:t>
      </w:r>
      <w:r w:rsidRPr="00102515">
        <w:rPr>
          <w:rStyle w:val="Uwydatnienie"/>
          <w:rFonts w:ascii="Montserrat" w:hAnsi="Montserrat"/>
          <w:color w:val="000000"/>
          <w:sz w:val="20"/>
          <w:szCs w:val="20"/>
        </w:rPr>
        <w:t>strumień oprawy</w:t>
      </w:r>
      <w:r w:rsidRPr="00102515">
        <w:rPr>
          <w:rStyle w:val="apple-converted-space"/>
          <w:rFonts w:ascii="Montserrat" w:hAnsi="Montserrat"/>
          <w:color w:val="000000"/>
          <w:sz w:val="20"/>
          <w:szCs w:val="20"/>
        </w:rPr>
        <w:t> </w:t>
      </w:r>
      <w:r w:rsidRPr="00102515">
        <w:rPr>
          <w:rFonts w:ascii="Montserrat" w:hAnsi="Montserrat"/>
          <w:color w:val="000000"/>
          <w:sz w:val="20"/>
          <w:szCs w:val="20"/>
        </w:rPr>
        <w:t>[lm]. Dopiero takie dane odzwierciedlają rzeczywisty komfort wizualny i koszt eksploatacji instalacji, podczas gdy klasa energetyczna widoczna na etykiecie pozostaje pomocnym – lecz ograniczonym – wskaźnikiem efektywności samego źródła światła.</w:t>
      </w:r>
    </w:p>
    <w:p w14:paraId="2563CE1D" w14:textId="77777777" w:rsidR="00157450" w:rsidRPr="002A7004" w:rsidRDefault="00157450" w:rsidP="00157450">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Inteligentne sterowanie światłem</w:t>
      </w:r>
    </w:p>
    <w:p w14:paraId="00E6FB0B" w14:textId="77777777" w:rsidR="00157450" w:rsidRPr="002A7004" w:rsidRDefault="00157450" w:rsidP="00157450">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Lampy, które świecą nieprzerwanie od świtu do zmierzchu, to dziś kosztowny anachronizm. Meta-analiza 240 przypadków badających systemy sterowania wykazała, że czujniki obecności redukują zużycie o około 24 procent, strategie „</w:t>
      </w:r>
      <w:proofErr w:type="spellStart"/>
      <w:r w:rsidRPr="002A7004">
        <w:rPr>
          <w:rFonts w:eastAsia="Times New Roman" w:cs="Times New Roman"/>
          <w:color w:val="000000"/>
          <w:spacing w:val="0"/>
          <w:sz w:val="20"/>
          <w:szCs w:val="20"/>
          <w:lang w:eastAsia="pl-PL"/>
        </w:rPr>
        <w:t>daylight</w:t>
      </w:r>
      <w:proofErr w:type="spellEnd"/>
      <w:r w:rsidRPr="002A7004">
        <w:rPr>
          <w:rFonts w:eastAsia="Times New Roman" w:cs="Times New Roman"/>
          <w:color w:val="000000"/>
          <w:spacing w:val="0"/>
          <w:sz w:val="20"/>
          <w:szCs w:val="20"/>
          <w:lang w:eastAsia="pl-PL"/>
        </w:rPr>
        <w:t xml:space="preserve"> </w:t>
      </w:r>
      <w:proofErr w:type="spellStart"/>
      <w:r w:rsidRPr="002A7004">
        <w:rPr>
          <w:rFonts w:eastAsia="Times New Roman" w:cs="Times New Roman"/>
          <w:color w:val="000000"/>
          <w:spacing w:val="0"/>
          <w:sz w:val="20"/>
          <w:szCs w:val="20"/>
          <w:lang w:eastAsia="pl-PL"/>
        </w:rPr>
        <w:t>harvesting</w:t>
      </w:r>
      <w:proofErr w:type="spellEnd"/>
      <w:r w:rsidRPr="002A7004">
        <w:rPr>
          <w:rFonts w:eastAsia="Times New Roman" w:cs="Times New Roman"/>
          <w:color w:val="000000"/>
          <w:spacing w:val="0"/>
          <w:sz w:val="20"/>
          <w:szCs w:val="20"/>
          <w:lang w:eastAsia="pl-PL"/>
        </w:rPr>
        <w:t xml:space="preserve">” o 28 procent, a indywidualne ściemnianie stanowisk pracy o 31 procent. Zastosowanie kilku metod jednocześnie przynosi średnio 38 procent oszczędności energii oświetleniowej. Proste układy 1-10 V wciąż sprawdzają się w niewielkich pomieszczeniach, natomiast w biurowcach i halach produkcyjnych standardem staje się DALI-2 lub bezprzewodowy Bluetooth </w:t>
      </w:r>
      <w:proofErr w:type="spellStart"/>
      <w:r w:rsidRPr="002A7004">
        <w:rPr>
          <w:rFonts w:eastAsia="Times New Roman" w:cs="Times New Roman"/>
          <w:color w:val="000000"/>
          <w:spacing w:val="0"/>
          <w:sz w:val="20"/>
          <w:szCs w:val="20"/>
          <w:lang w:eastAsia="pl-PL"/>
        </w:rPr>
        <w:t>Mesh</w:t>
      </w:r>
      <w:proofErr w:type="spellEnd"/>
      <w:r w:rsidRPr="002A7004">
        <w:rPr>
          <w:rFonts w:eastAsia="Times New Roman" w:cs="Times New Roman"/>
          <w:color w:val="000000"/>
          <w:spacing w:val="0"/>
          <w:sz w:val="20"/>
          <w:szCs w:val="20"/>
          <w:lang w:eastAsia="pl-PL"/>
        </w:rPr>
        <w:t>, umożliwiający adresowanie każdej oprawy i zbieranie statystyk w chmurze. Integracja z systemem BMS pozwala dodatkowo powiązać oświetlenie z roletami, czujnikami CO₂ czy HVAC, co zmniejsza zapotrzebowanie na energię całego obiektu nawet o kilkanaście procent rocznie</w:t>
      </w:r>
      <w:r>
        <w:rPr>
          <w:rFonts w:eastAsia="Times New Roman" w:cs="Times New Roman"/>
          <w:color w:val="000000"/>
          <w:spacing w:val="0"/>
          <w:sz w:val="20"/>
          <w:szCs w:val="20"/>
          <w:lang w:eastAsia="pl-PL"/>
        </w:rPr>
        <w:t xml:space="preserve"> – wyjaśnia </w:t>
      </w:r>
      <w:r w:rsidRPr="00EA0405">
        <w:rPr>
          <w:rFonts w:eastAsia="Times New Roman" w:cs="Times New Roman"/>
          <w:color w:val="000000"/>
          <w:spacing w:val="0"/>
          <w:sz w:val="20"/>
          <w:szCs w:val="20"/>
          <w:lang w:eastAsia="pl-PL"/>
        </w:rPr>
        <w:t xml:space="preserve">Dyrektor Techniczny w firmie </w:t>
      </w:r>
      <w:proofErr w:type="spellStart"/>
      <w:r w:rsidRPr="00EA0405">
        <w:rPr>
          <w:rFonts w:eastAsia="Times New Roman" w:cs="Times New Roman"/>
          <w:color w:val="000000"/>
          <w:spacing w:val="0"/>
          <w:sz w:val="20"/>
          <w:szCs w:val="20"/>
          <w:lang w:eastAsia="pl-PL"/>
        </w:rPr>
        <w:t>LedLine</w:t>
      </w:r>
      <w:proofErr w:type="spellEnd"/>
      <w:r>
        <w:rPr>
          <w:rFonts w:eastAsia="Times New Roman" w:cs="Times New Roman"/>
          <w:color w:val="000000"/>
          <w:spacing w:val="0"/>
          <w:sz w:val="20"/>
          <w:szCs w:val="20"/>
          <w:lang w:eastAsia="pl-PL"/>
        </w:rPr>
        <w:t>.</w:t>
      </w:r>
    </w:p>
    <w:p w14:paraId="38397391" w14:textId="77777777" w:rsidR="00157450" w:rsidRPr="002A7004" w:rsidRDefault="00157450" w:rsidP="00157450">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Ograniczanie zanieczyszczenia światłem i dbałość o nocne niebo</w:t>
      </w:r>
    </w:p>
    <w:p w14:paraId="0F135FB7" w14:textId="77777777" w:rsidR="00157450" w:rsidRPr="002A7004" w:rsidRDefault="00157450" w:rsidP="00157450">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 xml:space="preserve">Światło rozproszone ku górze nie przyczynia się do poprawy bezpieczeństwa, natomiast zaburza funkcjonowanie ekosystemów i utrudnia obserwacje astronomiczne. </w:t>
      </w:r>
      <w:proofErr w:type="spellStart"/>
      <w:r w:rsidRPr="002A7004">
        <w:rPr>
          <w:rFonts w:eastAsia="Times New Roman" w:cs="Times New Roman"/>
          <w:color w:val="000000"/>
          <w:spacing w:val="0"/>
          <w:sz w:val="20"/>
          <w:szCs w:val="20"/>
          <w:lang w:eastAsia="pl-PL"/>
        </w:rPr>
        <w:t>Upward</w:t>
      </w:r>
      <w:proofErr w:type="spellEnd"/>
      <w:r w:rsidRPr="002A7004">
        <w:rPr>
          <w:rFonts w:eastAsia="Times New Roman" w:cs="Times New Roman"/>
          <w:color w:val="000000"/>
          <w:spacing w:val="0"/>
          <w:sz w:val="20"/>
          <w:szCs w:val="20"/>
          <w:lang w:eastAsia="pl-PL"/>
        </w:rPr>
        <w:t xml:space="preserve"> </w:t>
      </w:r>
      <w:proofErr w:type="spellStart"/>
      <w:r w:rsidRPr="002A7004">
        <w:rPr>
          <w:rFonts w:eastAsia="Times New Roman" w:cs="Times New Roman"/>
          <w:color w:val="000000"/>
          <w:spacing w:val="0"/>
          <w:sz w:val="20"/>
          <w:szCs w:val="20"/>
          <w:lang w:eastAsia="pl-PL"/>
        </w:rPr>
        <w:t>Light</w:t>
      </w:r>
      <w:proofErr w:type="spellEnd"/>
      <w:r w:rsidRPr="002A7004">
        <w:rPr>
          <w:rFonts w:eastAsia="Times New Roman" w:cs="Times New Roman"/>
          <w:color w:val="000000"/>
          <w:spacing w:val="0"/>
          <w:sz w:val="20"/>
          <w:szCs w:val="20"/>
          <w:lang w:eastAsia="pl-PL"/>
        </w:rPr>
        <w:t xml:space="preserve"> Ratio, czyli procent strumienia emitowanego powyżej horyzontu, jest dziś kluczowym parametrem ocenianym w projektach terenów zewnętrznych. Zgodnie z EN 12464-2 maksymalny ULR zależy od kategorii środowiskowej: w obszarach parków narodowych (E1) dozwolone jest 0 procent, na terenach wiejskich (E2) 2,5 procenta, w małych miastach (E3) 5 procent, a w centrach metropolii (E4) 15 procent</w:t>
      </w:r>
      <w:r>
        <w:rPr>
          <w:rFonts w:eastAsia="Times New Roman" w:cs="Times New Roman"/>
          <w:color w:val="000000"/>
          <w:spacing w:val="0"/>
          <w:sz w:val="20"/>
          <w:szCs w:val="20"/>
          <w:lang w:eastAsia="pl-PL"/>
        </w:rPr>
        <w:t xml:space="preserve">. </w:t>
      </w:r>
      <w:r w:rsidRPr="002A7004">
        <w:rPr>
          <w:rFonts w:eastAsia="Times New Roman" w:cs="Times New Roman"/>
          <w:color w:val="000000"/>
          <w:spacing w:val="0"/>
          <w:sz w:val="20"/>
          <w:szCs w:val="20"/>
          <w:lang w:eastAsia="pl-PL"/>
        </w:rPr>
        <w:t xml:space="preserve">Nowoczesne oprawy typu </w:t>
      </w:r>
      <w:proofErr w:type="spellStart"/>
      <w:r w:rsidRPr="002A7004">
        <w:rPr>
          <w:rFonts w:eastAsia="Times New Roman" w:cs="Times New Roman"/>
          <w:color w:val="000000"/>
          <w:spacing w:val="0"/>
          <w:sz w:val="20"/>
          <w:szCs w:val="20"/>
          <w:lang w:eastAsia="pl-PL"/>
        </w:rPr>
        <w:t>full</w:t>
      </w:r>
      <w:proofErr w:type="spellEnd"/>
      <w:r w:rsidRPr="002A7004">
        <w:rPr>
          <w:rFonts w:eastAsia="Times New Roman" w:cs="Times New Roman"/>
          <w:color w:val="000000"/>
          <w:spacing w:val="0"/>
          <w:sz w:val="20"/>
          <w:szCs w:val="20"/>
          <w:lang w:eastAsia="pl-PL"/>
        </w:rPr>
        <w:t xml:space="preserve"> </w:t>
      </w:r>
      <w:proofErr w:type="spellStart"/>
      <w:r w:rsidRPr="002A7004">
        <w:rPr>
          <w:rFonts w:eastAsia="Times New Roman" w:cs="Times New Roman"/>
          <w:color w:val="000000"/>
          <w:spacing w:val="0"/>
          <w:sz w:val="20"/>
          <w:szCs w:val="20"/>
          <w:lang w:eastAsia="pl-PL"/>
        </w:rPr>
        <w:t>cut</w:t>
      </w:r>
      <w:proofErr w:type="spellEnd"/>
      <w:r w:rsidRPr="002A7004">
        <w:rPr>
          <w:rFonts w:eastAsia="Times New Roman" w:cs="Times New Roman"/>
          <w:color w:val="000000"/>
          <w:spacing w:val="0"/>
          <w:sz w:val="20"/>
          <w:szCs w:val="20"/>
          <w:lang w:eastAsia="pl-PL"/>
        </w:rPr>
        <w:t>-off lub z asymetrycznym odbłyśnikiem spełniają te wymagania bez trudu, pod warunkiem właściwego montażu – nawet najlepsza lampa przechylona o kilka stopni może przekroczyć limit. W praktyce coraz częściej stosuje się temperatury barwowe 2700-3000 K, aby ograniczyć emisję krótkofalowego niebieskiego światła najbardziej rozpraszającego się w atmosferze.</w:t>
      </w:r>
    </w:p>
    <w:p w14:paraId="754BACD8" w14:textId="77777777" w:rsidR="00157450" w:rsidRPr="002A7004" w:rsidRDefault="00157450" w:rsidP="00157450">
      <w:pPr>
        <w:spacing w:before="100" w:beforeAutospacing="1" w:after="100" w:afterAutospacing="1"/>
        <w:jc w:val="both"/>
        <w:outlineLvl w:val="3"/>
        <w:rPr>
          <w:rFonts w:eastAsia="Times New Roman" w:cs="Times New Roman"/>
          <w:b/>
          <w:bCs/>
          <w:color w:val="000000"/>
          <w:spacing w:val="0"/>
          <w:sz w:val="20"/>
          <w:szCs w:val="20"/>
          <w:lang w:eastAsia="pl-PL"/>
        </w:rPr>
      </w:pPr>
      <w:r w:rsidRPr="002A7004">
        <w:rPr>
          <w:rFonts w:eastAsia="Times New Roman" w:cs="Times New Roman"/>
          <w:b/>
          <w:bCs/>
          <w:color w:val="000000"/>
          <w:spacing w:val="0"/>
          <w:sz w:val="20"/>
          <w:szCs w:val="20"/>
          <w:lang w:eastAsia="pl-PL"/>
        </w:rPr>
        <w:t>Oświetlenie a zrównoważone budynki</w:t>
      </w:r>
    </w:p>
    <w:p w14:paraId="7332D19A" w14:textId="77777777" w:rsidR="00157450" w:rsidRPr="002A7004" w:rsidRDefault="00157450" w:rsidP="00157450">
      <w:pPr>
        <w:spacing w:before="100" w:beforeAutospacing="1" w:after="100" w:afterAutospacing="1"/>
        <w:jc w:val="both"/>
        <w:rPr>
          <w:rFonts w:eastAsia="Times New Roman" w:cs="Times New Roman"/>
          <w:color w:val="000000"/>
          <w:spacing w:val="0"/>
          <w:sz w:val="20"/>
          <w:szCs w:val="20"/>
          <w:lang w:eastAsia="pl-PL"/>
        </w:rPr>
      </w:pPr>
      <w:r w:rsidRPr="002A7004">
        <w:rPr>
          <w:rFonts w:eastAsia="Times New Roman" w:cs="Times New Roman"/>
          <w:color w:val="000000"/>
          <w:spacing w:val="0"/>
          <w:sz w:val="20"/>
          <w:szCs w:val="20"/>
          <w:lang w:eastAsia="pl-PL"/>
        </w:rPr>
        <w:t>Systemy certyfikacji ekologicznej, takie jak LEED czy BREEAM, premiują niskie zużycie energii, ograniczenie ULR oraz możliwość odzysku i recyklingu podzespołów. Oprawy LED nie zawierają rtęci, dlatego po zakończeniu eksploatacji kwalifikują się do strumienia elektroodpadów (WEEE), gdzie odzyskuje się aluminium i tworzywa sztuczne. Analiza całego cyklu życia pokazuje, że największy wpływ środowiskowy ma faza użytkowania; im wyższa skuteczność [lm/W] i bardziej zaawansowane sterowanie, tym mniejsza emisja CO₂ w przeliczeniu na lumenogodziny. Ważną rolę odgrywa też konserwacja: brak konieczności częstych wymian źródeł ogranicza zarówno koszty robocizny, jak i ilość odpadów, co doceniają operatorzy dróg oraz sieci logistyczne.</w:t>
      </w:r>
    </w:p>
    <w:p w14:paraId="7F9FF9F3" w14:textId="77777777" w:rsidR="00157450" w:rsidRDefault="00157450" w:rsidP="00157450">
      <w:pPr>
        <w:jc w:val="both"/>
      </w:pPr>
      <w:r w:rsidRPr="002A7004">
        <w:rPr>
          <w:rFonts w:eastAsia="Times New Roman" w:cs="Times New Roman"/>
          <w:color w:val="000000"/>
          <w:spacing w:val="0"/>
          <w:sz w:val="20"/>
          <w:szCs w:val="20"/>
          <w:lang w:eastAsia="pl-PL"/>
        </w:rPr>
        <w:lastRenderedPageBreak/>
        <w:t xml:space="preserve">Technologia LED ewoluowała od ciekawostki elektronicznej do standardu wyznaczającego kierunki polityki energetycznej. Dzisiejsze oprawy osiągają skuteczność porównywalną z laboratoryjnymi rekordami sprzed dekady, oferują żywotność liczona w dziesiątkach tysięcy godzin i umożliwiają precyzyjne sterowanie w czasie rzeczywistym. Prawidłowo zaprojektowane oświetlenie nie tylko obniża rachunki, lecz także podnosi komfort pracy, zwiększa bezpieczeństwo ruchu i chroni nocne niebo. Kluczem pozostaje weryfikacja danych zgodnie z EN 13032-4, świadomy dobór optyki do zadania, stosowanie wielowarstwowych strategii sterowania oraz przestrzeganie limitów ULR określonych w EN 12464-2 i CIE 150. Wdrażając te zasady, zyskujemy instalację przyjazną środowisku, zgodną z europejskim </w:t>
      </w:r>
      <w:r w:rsidRPr="002A7004">
        <w:rPr>
          <w:color w:val="000000"/>
          <w:sz w:val="20"/>
          <w:szCs w:val="20"/>
        </w:rPr>
        <w:t>prawem i gotową na kolejne lata bezproblemowej eksploatacji.</w:t>
      </w:r>
    </w:p>
    <w:p w14:paraId="6725EE24" w14:textId="77777777" w:rsidR="0082078D" w:rsidRDefault="0082078D"/>
    <w:sectPr w:rsidR="0082078D" w:rsidSect="001574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Calibri Light (Nagłówki)">
    <w:altName w:val="Calibri Light"/>
    <w:charset w:val="00"/>
    <w:family w:val="roman"/>
    <w:pitch w:val="default"/>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450"/>
    <w:rsid w:val="00157450"/>
    <w:rsid w:val="00684741"/>
    <w:rsid w:val="00820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693E"/>
  <w15:chartTrackingRefBased/>
  <w15:docId w15:val="{970E92C3-B452-48D1-891E-CA0F09784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7450"/>
    <w:pPr>
      <w:spacing w:after="0" w:line="240" w:lineRule="auto"/>
    </w:pPr>
    <w:rPr>
      <w:rFonts w:ascii="Montserrat" w:hAnsi="Montserrat" w:cs="Calibri Light (Nagłówki)"/>
      <w:color w:val="242426"/>
      <w:spacing w:val="11"/>
      <w:kern w:val="0"/>
      <w14:ligatures w14:val="none"/>
    </w:rPr>
  </w:style>
  <w:style w:type="paragraph" w:styleId="Nagwek1">
    <w:name w:val="heading 1"/>
    <w:basedOn w:val="Normalny"/>
    <w:next w:val="Normalny"/>
    <w:link w:val="Nagwek1Znak"/>
    <w:uiPriority w:val="9"/>
    <w:qFormat/>
    <w:rsid w:val="00157450"/>
    <w:pPr>
      <w:keepNext/>
      <w:keepLines/>
      <w:spacing w:before="360" w:after="80" w:line="259" w:lineRule="auto"/>
      <w:outlineLvl w:val="0"/>
    </w:pPr>
    <w:rPr>
      <w:rFonts w:asciiTheme="majorHAnsi" w:eastAsiaTheme="majorEastAsia" w:hAnsiTheme="majorHAnsi" w:cstheme="majorBidi"/>
      <w:color w:val="0F4761" w:themeColor="accent1" w:themeShade="BF"/>
      <w:spacing w:val="0"/>
      <w:kern w:val="2"/>
      <w:sz w:val="40"/>
      <w:szCs w:val="40"/>
      <w14:ligatures w14:val="standardContextual"/>
    </w:rPr>
  </w:style>
  <w:style w:type="paragraph" w:styleId="Nagwek2">
    <w:name w:val="heading 2"/>
    <w:basedOn w:val="Normalny"/>
    <w:next w:val="Normalny"/>
    <w:link w:val="Nagwek2Znak"/>
    <w:uiPriority w:val="9"/>
    <w:semiHidden/>
    <w:unhideWhenUsed/>
    <w:qFormat/>
    <w:rsid w:val="00157450"/>
    <w:pPr>
      <w:keepNext/>
      <w:keepLines/>
      <w:spacing w:before="160" w:after="80" w:line="259" w:lineRule="auto"/>
      <w:outlineLvl w:val="1"/>
    </w:pPr>
    <w:rPr>
      <w:rFonts w:asciiTheme="majorHAnsi" w:eastAsiaTheme="majorEastAsia" w:hAnsiTheme="majorHAnsi" w:cstheme="majorBidi"/>
      <w:color w:val="0F4761" w:themeColor="accent1" w:themeShade="BF"/>
      <w:spacing w:val="0"/>
      <w:kern w:val="2"/>
      <w:sz w:val="32"/>
      <w:szCs w:val="32"/>
      <w14:ligatures w14:val="standardContextual"/>
    </w:rPr>
  </w:style>
  <w:style w:type="paragraph" w:styleId="Nagwek3">
    <w:name w:val="heading 3"/>
    <w:basedOn w:val="Normalny"/>
    <w:next w:val="Normalny"/>
    <w:link w:val="Nagwek3Znak"/>
    <w:uiPriority w:val="9"/>
    <w:semiHidden/>
    <w:unhideWhenUsed/>
    <w:qFormat/>
    <w:rsid w:val="00157450"/>
    <w:pPr>
      <w:keepNext/>
      <w:keepLines/>
      <w:spacing w:before="160" w:after="80" w:line="259" w:lineRule="auto"/>
      <w:outlineLvl w:val="2"/>
    </w:pPr>
    <w:rPr>
      <w:rFonts w:asciiTheme="minorHAnsi" w:eastAsiaTheme="majorEastAsia" w:hAnsiTheme="minorHAnsi" w:cstheme="majorBidi"/>
      <w:color w:val="0F4761" w:themeColor="accent1" w:themeShade="BF"/>
      <w:spacing w:val="0"/>
      <w:kern w:val="2"/>
      <w:sz w:val="28"/>
      <w:szCs w:val="28"/>
      <w14:ligatures w14:val="standardContextual"/>
    </w:rPr>
  </w:style>
  <w:style w:type="paragraph" w:styleId="Nagwek4">
    <w:name w:val="heading 4"/>
    <w:basedOn w:val="Normalny"/>
    <w:next w:val="Normalny"/>
    <w:link w:val="Nagwek4Znak"/>
    <w:uiPriority w:val="9"/>
    <w:semiHidden/>
    <w:unhideWhenUsed/>
    <w:qFormat/>
    <w:rsid w:val="00157450"/>
    <w:pPr>
      <w:keepNext/>
      <w:keepLines/>
      <w:spacing w:before="80" w:after="40" w:line="259" w:lineRule="auto"/>
      <w:outlineLvl w:val="3"/>
    </w:pPr>
    <w:rPr>
      <w:rFonts w:asciiTheme="minorHAnsi" w:eastAsiaTheme="majorEastAsia" w:hAnsiTheme="minorHAnsi" w:cstheme="majorBidi"/>
      <w:i/>
      <w:iCs/>
      <w:color w:val="0F4761" w:themeColor="accent1" w:themeShade="BF"/>
      <w:spacing w:val="0"/>
      <w:kern w:val="2"/>
      <w14:ligatures w14:val="standardContextual"/>
    </w:rPr>
  </w:style>
  <w:style w:type="paragraph" w:styleId="Nagwek5">
    <w:name w:val="heading 5"/>
    <w:basedOn w:val="Normalny"/>
    <w:next w:val="Normalny"/>
    <w:link w:val="Nagwek5Znak"/>
    <w:uiPriority w:val="9"/>
    <w:semiHidden/>
    <w:unhideWhenUsed/>
    <w:qFormat/>
    <w:rsid w:val="00157450"/>
    <w:pPr>
      <w:keepNext/>
      <w:keepLines/>
      <w:spacing w:before="80" w:after="40" w:line="259" w:lineRule="auto"/>
      <w:outlineLvl w:val="4"/>
    </w:pPr>
    <w:rPr>
      <w:rFonts w:asciiTheme="minorHAnsi" w:eastAsiaTheme="majorEastAsia" w:hAnsiTheme="minorHAnsi" w:cstheme="majorBidi"/>
      <w:color w:val="0F4761" w:themeColor="accent1" w:themeShade="BF"/>
      <w:spacing w:val="0"/>
      <w:kern w:val="2"/>
      <w14:ligatures w14:val="standardContextual"/>
    </w:rPr>
  </w:style>
  <w:style w:type="paragraph" w:styleId="Nagwek6">
    <w:name w:val="heading 6"/>
    <w:basedOn w:val="Normalny"/>
    <w:next w:val="Normalny"/>
    <w:link w:val="Nagwek6Znak"/>
    <w:uiPriority w:val="9"/>
    <w:semiHidden/>
    <w:unhideWhenUsed/>
    <w:qFormat/>
    <w:rsid w:val="00157450"/>
    <w:pPr>
      <w:keepNext/>
      <w:keepLines/>
      <w:spacing w:before="40" w:line="259" w:lineRule="auto"/>
      <w:outlineLvl w:val="5"/>
    </w:pPr>
    <w:rPr>
      <w:rFonts w:asciiTheme="minorHAnsi" w:eastAsiaTheme="majorEastAsia" w:hAnsiTheme="minorHAnsi" w:cstheme="majorBidi"/>
      <w:i/>
      <w:iCs/>
      <w:color w:val="595959" w:themeColor="text1" w:themeTint="A6"/>
      <w:spacing w:val="0"/>
      <w:kern w:val="2"/>
      <w14:ligatures w14:val="standardContextual"/>
    </w:rPr>
  </w:style>
  <w:style w:type="paragraph" w:styleId="Nagwek7">
    <w:name w:val="heading 7"/>
    <w:basedOn w:val="Normalny"/>
    <w:next w:val="Normalny"/>
    <w:link w:val="Nagwek7Znak"/>
    <w:uiPriority w:val="9"/>
    <w:semiHidden/>
    <w:unhideWhenUsed/>
    <w:qFormat/>
    <w:rsid w:val="00157450"/>
    <w:pPr>
      <w:keepNext/>
      <w:keepLines/>
      <w:spacing w:before="40" w:line="259" w:lineRule="auto"/>
      <w:outlineLvl w:val="6"/>
    </w:pPr>
    <w:rPr>
      <w:rFonts w:asciiTheme="minorHAnsi" w:eastAsiaTheme="majorEastAsia" w:hAnsiTheme="minorHAnsi" w:cstheme="majorBidi"/>
      <w:color w:val="595959" w:themeColor="text1" w:themeTint="A6"/>
      <w:spacing w:val="0"/>
      <w:kern w:val="2"/>
      <w14:ligatures w14:val="standardContextual"/>
    </w:rPr>
  </w:style>
  <w:style w:type="paragraph" w:styleId="Nagwek8">
    <w:name w:val="heading 8"/>
    <w:basedOn w:val="Normalny"/>
    <w:next w:val="Normalny"/>
    <w:link w:val="Nagwek8Znak"/>
    <w:uiPriority w:val="9"/>
    <w:semiHidden/>
    <w:unhideWhenUsed/>
    <w:qFormat/>
    <w:rsid w:val="00157450"/>
    <w:pPr>
      <w:keepNext/>
      <w:keepLines/>
      <w:spacing w:line="259" w:lineRule="auto"/>
      <w:outlineLvl w:val="7"/>
    </w:pPr>
    <w:rPr>
      <w:rFonts w:asciiTheme="minorHAnsi" w:eastAsiaTheme="majorEastAsia" w:hAnsiTheme="minorHAnsi" w:cstheme="majorBidi"/>
      <w:i/>
      <w:iCs/>
      <w:color w:val="272727" w:themeColor="text1" w:themeTint="D8"/>
      <w:spacing w:val="0"/>
      <w:kern w:val="2"/>
      <w14:ligatures w14:val="standardContextual"/>
    </w:rPr>
  </w:style>
  <w:style w:type="paragraph" w:styleId="Nagwek9">
    <w:name w:val="heading 9"/>
    <w:basedOn w:val="Normalny"/>
    <w:next w:val="Normalny"/>
    <w:link w:val="Nagwek9Znak"/>
    <w:uiPriority w:val="9"/>
    <w:semiHidden/>
    <w:unhideWhenUsed/>
    <w:qFormat/>
    <w:rsid w:val="00157450"/>
    <w:pPr>
      <w:keepNext/>
      <w:keepLines/>
      <w:spacing w:line="259" w:lineRule="auto"/>
      <w:outlineLvl w:val="8"/>
    </w:pPr>
    <w:rPr>
      <w:rFonts w:asciiTheme="minorHAnsi" w:eastAsiaTheme="majorEastAsia" w:hAnsiTheme="minorHAnsi" w:cstheme="majorBidi"/>
      <w:color w:val="272727" w:themeColor="text1" w:themeTint="D8"/>
      <w:spacing w:val="0"/>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745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5745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5745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5745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5745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5745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5745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5745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57450"/>
    <w:rPr>
      <w:rFonts w:eastAsiaTheme="majorEastAsia" w:cstheme="majorBidi"/>
      <w:color w:val="272727" w:themeColor="text1" w:themeTint="D8"/>
    </w:rPr>
  </w:style>
  <w:style w:type="paragraph" w:styleId="Tytu">
    <w:name w:val="Title"/>
    <w:basedOn w:val="Normalny"/>
    <w:next w:val="Normalny"/>
    <w:link w:val="TytuZnak"/>
    <w:uiPriority w:val="10"/>
    <w:qFormat/>
    <w:rsid w:val="00157450"/>
    <w:pPr>
      <w:spacing w:after="80"/>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ytuZnak">
    <w:name w:val="Tytuł Znak"/>
    <w:basedOn w:val="Domylnaczcionkaakapitu"/>
    <w:link w:val="Tytu"/>
    <w:uiPriority w:val="10"/>
    <w:rsid w:val="0015745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57450"/>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5745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57450"/>
    <w:pPr>
      <w:spacing w:before="160" w:after="160" w:line="259" w:lineRule="auto"/>
      <w:jc w:val="center"/>
    </w:pPr>
    <w:rPr>
      <w:rFonts w:asciiTheme="minorHAnsi" w:hAnsiTheme="minorHAnsi" w:cstheme="minorBidi"/>
      <w:i/>
      <w:iCs/>
      <w:color w:val="404040" w:themeColor="text1" w:themeTint="BF"/>
      <w:spacing w:val="0"/>
      <w:kern w:val="2"/>
      <w14:ligatures w14:val="standardContextual"/>
    </w:rPr>
  </w:style>
  <w:style w:type="character" w:customStyle="1" w:styleId="CytatZnak">
    <w:name w:val="Cytat Znak"/>
    <w:basedOn w:val="Domylnaczcionkaakapitu"/>
    <w:link w:val="Cytat"/>
    <w:uiPriority w:val="29"/>
    <w:rsid w:val="00157450"/>
    <w:rPr>
      <w:i/>
      <w:iCs/>
      <w:color w:val="404040" w:themeColor="text1" w:themeTint="BF"/>
    </w:rPr>
  </w:style>
  <w:style w:type="paragraph" w:styleId="Akapitzlist">
    <w:name w:val="List Paragraph"/>
    <w:basedOn w:val="Normalny"/>
    <w:uiPriority w:val="34"/>
    <w:qFormat/>
    <w:rsid w:val="00157450"/>
    <w:pPr>
      <w:spacing w:after="160" w:line="259" w:lineRule="auto"/>
      <w:ind w:left="720"/>
      <w:contextualSpacing/>
    </w:pPr>
    <w:rPr>
      <w:rFonts w:asciiTheme="minorHAnsi" w:hAnsiTheme="minorHAnsi" w:cstheme="minorBidi"/>
      <w:color w:val="auto"/>
      <w:spacing w:val="0"/>
      <w:kern w:val="2"/>
      <w14:ligatures w14:val="standardContextual"/>
    </w:rPr>
  </w:style>
  <w:style w:type="character" w:styleId="Wyrnienieintensywne">
    <w:name w:val="Intense Emphasis"/>
    <w:basedOn w:val="Domylnaczcionkaakapitu"/>
    <w:uiPriority w:val="21"/>
    <w:qFormat/>
    <w:rsid w:val="00157450"/>
    <w:rPr>
      <w:i/>
      <w:iCs/>
      <w:color w:val="0F4761" w:themeColor="accent1" w:themeShade="BF"/>
    </w:rPr>
  </w:style>
  <w:style w:type="paragraph" w:styleId="Cytatintensywny">
    <w:name w:val="Intense Quote"/>
    <w:basedOn w:val="Normalny"/>
    <w:next w:val="Normalny"/>
    <w:link w:val="CytatintensywnyZnak"/>
    <w:uiPriority w:val="30"/>
    <w:qFormat/>
    <w:rsid w:val="001574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spacing w:val="0"/>
      <w:kern w:val="2"/>
      <w14:ligatures w14:val="standardContextual"/>
    </w:rPr>
  </w:style>
  <w:style w:type="character" w:customStyle="1" w:styleId="CytatintensywnyZnak">
    <w:name w:val="Cytat intensywny Znak"/>
    <w:basedOn w:val="Domylnaczcionkaakapitu"/>
    <w:link w:val="Cytatintensywny"/>
    <w:uiPriority w:val="30"/>
    <w:rsid w:val="00157450"/>
    <w:rPr>
      <w:i/>
      <w:iCs/>
      <w:color w:val="0F4761" w:themeColor="accent1" w:themeShade="BF"/>
    </w:rPr>
  </w:style>
  <w:style w:type="character" w:styleId="Odwoanieintensywne">
    <w:name w:val="Intense Reference"/>
    <w:basedOn w:val="Domylnaczcionkaakapitu"/>
    <w:uiPriority w:val="32"/>
    <w:qFormat/>
    <w:rsid w:val="00157450"/>
    <w:rPr>
      <w:b/>
      <w:bCs/>
      <w:smallCaps/>
      <w:color w:val="0F4761" w:themeColor="accent1" w:themeShade="BF"/>
      <w:spacing w:val="5"/>
    </w:rPr>
  </w:style>
  <w:style w:type="paragraph" w:styleId="NormalnyWeb">
    <w:name w:val="Normal (Web)"/>
    <w:basedOn w:val="Normalny"/>
    <w:uiPriority w:val="99"/>
    <w:semiHidden/>
    <w:unhideWhenUsed/>
    <w:rsid w:val="00157450"/>
    <w:pPr>
      <w:spacing w:before="100" w:beforeAutospacing="1" w:after="100" w:afterAutospacing="1"/>
    </w:pPr>
    <w:rPr>
      <w:rFonts w:ascii="Times New Roman" w:eastAsia="Times New Roman" w:hAnsi="Times New Roman" w:cs="Times New Roman"/>
      <w:color w:val="auto"/>
      <w:spacing w:val="0"/>
      <w:sz w:val="24"/>
      <w:szCs w:val="24"/>
      <w:lang w:eastAsia="pl-PL"/>
    </w:rPr>
  </w:style>
  <w:style w:type="character" w:styleId="Uwydatnienie">
    <w:name w:val="Emphasis"/>
    <w:basedOn w:val="Domylnaczcionkaakapitu"/>
    <w:uiPriority w:val="20"/>
    <w:qFormat/>
    <w:rsid w:val="00157450"/>
    <w:rPr>
      <w:i/>
      <w:iCs/>
    </w:rPr>
  </w:style>
  <w:style w:type="character" w:customStyle="1" w:styleId="apple-converted-space">
    <w:name w:val="apple-converted-space"/>
    <w:basedOn w:val="Domylnaczcionkaakapitu"/>
    <w:rsid w:val="00157450"/>
  </w:style>
  <w:style w:type="character" w:styleId="Pogrubienie">
    <w:name w:val="Strong"/>
    <w:basedOn w:val="Domylnaczcionkaakapitu"/>
    <w:uiPriority w:val="22"/>
    <w:qFormat/>
    <w:rsid w:val="001574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1172</Words>
  <Characters>7033</Characters>
  <Application>Microsoft Office Word</Application>
  <DocSecurity>0</DocSecurity>
  <Lines>58</Lines>
  <Paragraphs>16</Paragraphs>
  <ScaleCrop>false</ScaleCrop>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cp:revision>
  <dcterms:created xsi:type="dcterms:W3CDTF">2025-07-15T06:24:00Z</dcterms:created>
  <dcterms:modified xsi:type="dcterms:W3CDTF">2025-07-15T06:25:00Z</dcterms:modified>
</cp:coreProperties>
</file>