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5EC7B13A" w14:textId="77777777" w:rsidR="000F13AE" w:rsidRPr="000F13AE" w:rsidRDefault="000F13AE" w:rsidP="000F13AE">
      <w:pPr>
        <w:spacing w:line="360" w:lineRule="auto"/>
        <w:jc w:val="center"/>
        <w:rPr>
          <w:b/>
          <w:bCs/>
        </w:rPr>
      </w:pPr>
      <w:r w:rsidRPr="000F13AE">
        <w:rPr>
          <w:b/>
          <w:bCs/>
        </w:rPr>
        <w:t>W tych miastach kup mieszkanie i zyskaj na późniejszej sprzedaży</w:t>
      </w:r>
    </w:p>
    <w:p w14:paraId="2DE6E805" w14:textId="77777777" w:rsidR="000F13AE" w:rsidRPr="000F13AE" w:rsidRDefault="000F13AE" w:rsidP="000F13AE">
      <w:pPr>
        <w:spacing w:line="360" w:lineRule="auto"/>
        <w:jc w:val="both"/>
        <w:rPr>
          <w:b/>
          <w:bCs/>
        </w:rPr>
      </w:pPr>
      <w:r w:rsidRPr="000F13AE">
        <w:rPr>
          <w:b/>
          <w:bCs/>
        </w:rPr>
        <w:t>Zakup atrakcyjnego mieszkania to dla inwestorów często strategiczny krok w kierunku pomnażania majątku. Jakie polskie miasta wyróżniają się obecnie największym potencjałem wzrostu wartości nieruchomości? Sprawdź, gdzie i jak warto inwestować, by zyskać na późniejszej sprzedaży!</w:t>
      </w:r>
    </w:p>
    <w:p w14:paraId="0E5FDB84" w14:textId="77777777" w:rsidR="000F13AE" w:rsidRPr="000F13AE" w:rsidRDefault="000F13AE" w:rsidP="000F13AE">
      <w:pPr>
        <w:spacing w:line="360" w:lineRule="auto"/>
        <w:jc w:val="both"/>
        <w:rPr>
          <w:b/>
          <w:bCs/>
        </w:rPr>
      </w:pPr>
      <w:r w:rsidRPr="000F13AE">
        <w:rPr>
          <w:b/>
          <w:bCs/>
        </w:rPr>
        <w:t>Najbardziej „płynne” polskie rynki mieszkaniowe</w:t>
      </w:r>
    </w:p>
    <w:p w14:paraId="0E750650" w14:textId="77777777" w:rsidR="000F13AE" w:rsidRPr="000F13AE" w:rsidRDefault="000F13AE" w:rsidP="000F13AE">
      <w:pPr>
        <w:spacing w:line="360" w:lineRule="auto"/>
        <w:jc w:val="both"/>
      </w:pPr>
      <w:r w:rsidRPr="000F13AE">
        <w:t>Zakup mieszkania to niezmiennie jedna z najpopularniejszych form lokowania kapitału. Aby jednak taka inwestycja rzeczywiście miała sens, potrzebne są dobre rozeznanie w aktualnej sytuacji na rynku i odpowiedni wybór atrakcyjnego „M”. Co aktualnie można uznać za „pewniaki” w tej dziedzinie?</w:t>
      </w:r>
    </w:p>
    <w:p w14:paraId="3A7FD6BF" w14:textId="77777777" w:rsidR="000F13AE" w:rsidRPr="000F13AE" w:rsidRDefault="000F13AE" w:rsidP="000F13AE">
      <w:pPr>
        <w:spacing w:line="360" w:lineRule="auto"/>
        <w:jc w:val="both"/>
      </w:pPr>
      <w:r w:rsidRPr="000F13AE">
        <w:t xml:space="preserve">Pozycję niekwestionowanych liderów zajmują tu dwa polskie miasta. Pierwsze to niezmiennie stolica, która działa jak magnes na nowych mieszkańców, inwestorów, studentów i turystów. Dynamiczny rozwój gospodarczy, rosnąca populacja oraz bogata oferta kulturalna czynią Warszawę atrakcyjnym miejscem do życia, pracy i studiowania. </w:t>
      </w:r>
    </w:p>
    <w:p w14:paraId="555E3341" w14:textId="77777777" w:rsidR="000F13AE" w:rsidRPr="000F13AE" w:rsidRDefault="000F13AE" w:rsidP="000F13AE">
      <w:pPr>
        <w:spacing w:line="360" w:lineRule="auto"/>
        <w:jc w:val="both"/>
      </w:pPr>
      <w:r w:rsidRPr="000F13AE">
        <w:t xml:space="preserve">Drugim miejscem z największym potencjałem jest nazywany „miastem spotkań” Wrocław, który w raporcie brytyjskiej firmy konsultingowej Oxford </w:t>
      </w:r>
      <w:proofErr w:type="spellStart"/>
      <w:r w:rsidRPr="000F13AE">
        <w:t>Economics</w:t>
      </w:r>
      <w:proofErr w:type="spellEnd"/>
      <w:r w:rsidRPr="000F13AE">
        <w:t xml:space="preserve"> (uwzględniającym 27 czynników wpływających na jakość życia mieszkańców w danym miejscu) znalazł się w pierwszej setce najatrakcyjniejszych miast spośród tysiąca lokalizacji na świecie i został okrzyknięty numerem jeden w Polsce.</w:t>
      </w:r>
    </w:p>
    <w:p w14:paraId="19E12499" w14:textId="77777777" w:rsidR="000F13AE" w:rsidRPr="000F13AE" w:rsidRDefault="000F13AE" w:rsidP="000F13AE">
      <w:pPr>
        <w:spacing w:line="360" w:lineRule="auto"/>
        <w:jc w:val="both"/>
      </w:pPr>
      <w:r w:rsidRPr="000F13AE">
        <w:t xml:space="preserve">Dynamiczny rozwój rynku pracy i infrastruktury, obecność wielu międzynarodowych firm oraz prestiżowe uczelnie to w przypadku obu tych miast główne czynniki wpływające na ogromne zainteresowanie zarówno zakupem, jak i wynajmem lokali mieszkalnych. </w:t>
      </w:r>
    </w:p>
    <w:p w14:paraId="6D45CF35" w14:textId="77777777" w:rsidR="000F13AE" w:rsidRPr="000F13AE" w:rsidRDefault="000F13AE" w:rsidP="000F13AE">
      <w:pPr>
        <w:spacing w:line="360" w:lineRule="auto"/>
        <w:jc w:val="both"/>
        <w:rPr>
          <w:b/>
          <w:bCs/>
        </w:rPr>
      </w:pPr>
      <w:r w:rsidRPr="000F13AE">
        <w:rPr>
          <w:b/>
          <w:bCs/>
        </w:rPr>
        <w:t xml:space="preserve">Wyprzedawane na pniu </w:t>
      </w:r>
    </w:p>
    <w:p w14:paraId="2A2B04FD" w14:textId="77777777" w:rsidR="000F13AE" w:rsidRPr="000F13AE" w:rsidRDefault="000F13AE" w:rsidP="000F13AE">
      <w:pPr>
        <w:spacing w:line="360" w:lineRule="auto"/>
        <w:jc w:val="both"/>
      </w:pPr>
      <w:r w:rsidRPr="000F13AE">
        <w:t>Potwierdzają to liczby, a konkretnie wskaźniki wyprzedaży, które pokazują, ile miesięcy zajęłoby wyprzedanie całej dostępnej w danym mieście oferty mieszkaniowej, przy założeniu, że nie pojawiają się nowe propozycje i uwzględnieniu dotychczasowego tempa sprzedaży. Przedział wskazujący na równowagę to 4-6 miesięcy. Końcem stycznia 2025 roku mieściły się w nim trzy lokalizacje: właśnie Warszawa i Wrocław, a także Trójmiasto. Inne popularne miasta, jak Poznań, Kraków, Łódź czy Katowice znalazły się w przedziale 7-10 miesięcy. Różnica jest więc spora.</w:t>
      </w:r>
    </w:p>
    <w:p w14:paraId="4F6B2491" w14:textId="77777777" w:rsidR="000F13AE" w:rsidRPr="000F13AE" w:rsidRDefault="000F13AE" w:rsidP="000F13AE">
      <w:pPr>
        <w:spacing w:line="360" w:lineRule="auto"/>
        <w:jc w:val="both"/>
      </w:pPr>
      <w:r w:rsidRPr="000F13AE">
        <w:t xml:space="preserve">Co za tym idzie, to właśnie Warszawa i Wrocław odnotowują większy niż w innych miastach wzrost cen nieruchomości – o kilka, a nawet kilkanaście procent w ciągu roku. Obecnie średnia cena za metr </w:t>
      </w:r>
      <w:r w:rsidRPr="000F13AE">
        <w:lastRenderedPageBreak/>
        <w:t>kwadratowy na rynku pierwotnym we Wrocławiu to ok. 14 tys. zł, a w Warszawie ok. 17 tys. zł. Trend zwyżkowy można zauważyć również na tamtejszych rynkach najmu mieszkań.</w:t>
      </w:r>
    </w:p>
    <w:p w14:paraId="5C66B387" w14:textId="77777777" w:rsidR="000F13AE" w:rsidRPr="000F13AE" w:rsidRDefault="000F13AE" w:rsidP="000F13AE">
      <w:pPr>
        <w:spacing w:line="360" w:lineRule="auto"/>
        <w:jc w:val="both"/>
      </w:pPr>
      <w:r w:rsidRPr="000F13AE">
        <w:t>W tak dużych i prężnie rozwijających się ośrodkach, atrakcyjne mieszkania błyskawicznie znajdują swoich nabywców ze względu na to, że popyt jest tam stale wysoki, a podaż ograniczona. Inwestując w atrakcyjną nieruchomość możemy zyskać pasywny miesięczny dochód rzędu kilku tysięcy złotych i niebagatelną kwotę przy ewentualnej sprzedaży. Tylko co dziś oznacza atrakcyjna nieruchomość z potencjałem sprzedaży?</w:t>
      </w:r>
    </w:p>
    <w:p w14:paraId="6B022E9D" w14:textId="77777777" w:rsidR="000F13AE" w:rsidRPr="000F13AE" w:rsidRDefault="000F13AE" w:rsidP="000F13AE">
      <w:pPr>
        <w:spacing w:line="360" w:lineRule="auto"/>
        <w:jc w:val="both"/>
        <w:rPr>
          <w:b/>
          <w:bCs/>
        </w:rPr>
      </w:pPr>
      <w:r w:rsidRPr="000F13AE">
        <w:rPr>
          <w:b/>
          <w:bCs/>
        </w:rPr>
        <w:t>Uwzględnić rosnące wymagania nabywców</w:t>
      </w:r>
    </w:p>
    <w:p w14:paraId="4DC31E71" w14:textId="41332BC8" w:rsidR="000F13AE" w:rsidRPr="000F13AE" w:rsidRDefault="000F13AE" w:rsidP="000F13AE">
      <w:pPr>
        <w:spacing w:line="360" w:lineRule="auto"/>
        <w:jc w:val="both"/>
      </w:pPr>
      <w:r w:rsidRPr="000F13AE">
        <w:t xml:space="preserve">Warto pamiętać, że oczekiwania nabywców stale rosną. Decydując się na inwestycję, warto więc </w:t>
      </w:r>
      <w:r w:rsidRPr="000F13AE">
        <w:t>spojrzeć</w:t>
      </w:r>
      <w:r w:rsidRPr="000F13AE">
        <w:t xml:space="preserve"> na nią ich oczami. </w:t>
      </w:r>
    </w:p>
    <w:p w14:paraId="5173B3FC" w14:textId="61476C7F" w:rsidR="000F13AE" w:rsidRPr="000F13AE" w:rsidRDefault="000F13AE" w:rsidP="000F13AE">
      <w:pPr>
        <w:spacing w:line="360" w:lineRule="auto"/>
        <w:jc w:val="both"/>
      </w:pPr>
      <w:r w:rsidRPr="000F13AE">
        <w:t xml:space="preserve">– Kluczowym czynnikiem dla kupujących, oprócz ceny, zdecydowanie jest lokalizacja, więc to kryterium warto brać pod uwagę w pierwszej kolejności. Preferowane są nieruchomości blisko centrum miasta lub z łatwym dojazdem do centrum. Liczy się też dostęp do lokali usługowych, komunikacji miejskiej, placówek oświatowych i terenów zielonych. Inna ważna kwestia to optymalny metraż. Największą popularnością cieszą się lokale dwu- i trzypokojowe oraz kawalerki. Takie mieszkania najłatwiej będzie sprzedać lub wynająć – wyjaśnia Artur Smoleń z wrocławskiego oddziału </w:t>
      </w:r>
      <w:r w:rsidRPr="000F13AE">
        <w:t>PROFIT Development</w:t>
      </w:r>
      <w:r w:rsidRPr="000F13AE">
        <w:t>. Firma prowadzi właśnie inwestycje w obu wskazanych miastach, zarówno w centrum, jak i na obrzeżach.</w:t>
      </w:r>
    </w:p>
    <w:p w14:paraId="5ECCA9B4" w14:textId="77777777" w:rsidR="000F13AE" w:rsidRPr="000F13AE" w:rsidRDefault="000F13AE" w:rsidP="000F13AE">
      <w:pPr>
        <w:spacing w:line="360" w:lineRule="auto"/>
        <w:jc w:val="both"/>
      </w:pPr>
      <w:r w:rsidRPr="000F13AE">
        <w:t xml:space="preserve">W kolejnym kroku warto pamiętać o innych względach praktycznych, jak nowoczesne udogodnienia typowe dla nowych osiedli (na przykład monitoring, pralnia, place zabaw, rowerowania, systemy smart </w:t>
      </w:r>
      <w:proofErr w:type="spellStart"/>
      <w:r w:rsidRPr="000F13AE">
        <w:t>home</w:t>
      </w:r>
      <w:proofErr w:type="spellEnd"/>
      <w:r w:rsidRPr="000F13AE">
        <w:t>), jakość materiałów, ustawność mieszkania, jego nasłonecznienie oraz zadbane otoczenie. Dobrze jest sprawdzić, co planowane jest w okolicy inwestycji i jak może ona wyglądać za kilka, kilkanaście lat, czyli w czasie, kiedy być może będziemy chcieli ją sprzedać.</w:t>
      </w:r>
    </w:p>
    <w:p w14:paraId="6C975274" w14:textId="6518E228" w:rsidR="000F13AE" w:rsidRPr="000F13AE" w:rsidRDefault="000F13AE" w:rsidP="000F13AE">
      <w:pPr>
        <w:spacing w:line="360" w:lineRule="auto"/>
        <w:jc w:val="both"/>
      </w:pPr>
      <w:r w:rsidRPr="000F13AE">
        <w:t xml:space="preserve">Mieszkanie w jednym z najprężniej </w:t>
      </w:r>
      <w:r w:rsidRPr="000F13AE">
        <w:t>rozwijających się</w:t>
      </w:r>
      <w:r w:rsidRPr="000F13AE">
        <w:t xml:space="preserve"> miast i spełniające powyższe kryteria to niemal pewny przepis na zysk.</w:t>
      </w:r>
    </w:p>
    <w:p w14:paraId="044313D8" w14:textId="77777777" w:rsidR="000F13AE" w:rsidRPr="000F13AE" w:rsidRDefault="000F13AE" w:rsidP="000F13AE">
      <w:pPr>
        <w:spacing w:line="360" w:lineRule="auto"/>
        <w:jc w:val="both"/>
        <w:rPr>
          <w:b/>
          <w:bCs/>
        </w:rPr>
      </w:pPr>
      <w:r w:rsidRPr="000F13AE">
        <w:rPr>
          <w:b/>
          <w:bCs/>
        </w:rPr>
        <w:t>Dobry czas na inwestycje</w:t>
      </w:r>
    </w:p>
    <w:p w14:paraId="1C5D07EF" w14:textId="5547CE31" w:rsidR="000F13AE" w:rsidRPr="000F13AE" w:rsidRDefault="000F13AE" w:rsidP="000F13AE">
      <w:pPr>
        <w:spacing w:line="360" w:lineRule="auto"/>
        <w:jc w:val="both"/>
      </w:pPr>
      <w:r w:rsidRPr="000F13AE">
        <w:t>Aby zmaksymalizować potencjalny dochód, trzeba brać pod uwagę nie tylko lokalizację i cechy danego mieszkania oraz jego otoczenia, ale i bieżącą sytuację na rynku. A ta aktualnie zdecydowanie sprzyja inwestycjom. – Oferta dawno nie była tak bogata, łatwiej więc niż jeszcze kilka miesięcy temu kupić atrakcyjne mieszkanie z potencjałem zysku. Ceny nieruchomości utrzymują się na stabilnym poziomie, a w niektórych miejscach następuje ich korekta, co jest pierwszym od około dwóch lat spadkiem, jeśli chodzi o stawki za m</w:t>
      </w:r>
      <w:r>
        <w:t>et</w:t>
      </w:r>
      <w:r w:rsidRPr="000F13AE">
        <w:t xml:space="preserve">r kwadratowy – dodaje Artur Smoleń z PROFIT Development. </w:t>
      </w:r>
    </w:p>
    <w:p w14:paraId="6E977AA9" w14:textId="380613B9" w:rsidR="000F13AE" w:rsidRPr="000F13AE" w:rsidRDefault="000F13AE" w:rsidP="000F13AE">
      <w:pPr>
        <w:spacing w:line="360" w:lineRule="auto"/>
        <w:jc w:val="both"/>
      </w:pPr>
      <w:r w:rsidRPr="000F13AE">
        <w:lastRenderedPageBreak/>
        <w:t>Wielu inwestorów uznaje obecny czas za optymalny na zakup atrakcyjnego „M”. Warszawski i wrocławski rynek nieruchomości niewątpliwie cieszą się ich największą uwagą.</w:t>
      </w:r>
    </w:p>
    <w:p w14:paraId="12516E2D" w14:textId="79A5F43B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882D3" w14:textId="77777777" w:rsidR="00E70E6D" w:rsidRDefault="00E70E6D">
      <w:pPr>
        <w:spacing w:after="0" w:line="240" w:lineRule="auto"/>
      </w:pPr>
      <w:r>
        <w:separator/>
      </w:r>
    </w:p>
  </w:endnote>
  <w:endnote w:type="continuationSeparator" w:id="0">
    <w:p w14:paraId="1A28E103" w14:textId="77777777" w:rsidR="00E70E6D" w:rsidRDefault="00E7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E84DB" w14:textId="77777777" w:rsidR="00E70E6D" w:rsidRDefault="00E70E6D">
      <w:pPr>
        <w:spacing w:after="0" w:line="240" w:lineRule="auto"/>
      </w:pPr>
      <w:r>
        <w:separator/>
      </w:r>
    </w:p>
  </w:footnote>
  <w:footnote w:type="continuationSeparator" w:id="0">
    <w:p w14:paraId="5ECEF46E" w14:textId="77777777" w:rsidR="00E70E6D" w:rsidRDefault="00E7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0F13AE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4279E"/>
    <w:rsid w:val="00E43089"/>
    <w:rsid w:val="00E45634"/>
    <w:rsid w:val="00E46E06"/>
    <w:rsid w:val="00E70E6D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2025-03-05T13:48:00Z</dcterms:created>
  <dcterms:modified xsi:type="dcterms:W3CDTF">2025-03-05T13:48:00Z</dcterms:modified>
</cp:coreProperties>
</file>