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2435" w14:textId="68AFB675" w:rsidR="007469CF" w:rsidRDefault="007469CF" w:rsidP="007469CF">
      <w:pPr>
        <w:jc w:val="right"/>
      </w:pPr>
      <w:r>
        <w:t>Wrocław, 18.03.2022</w:t>
      </w:r>
    </w:p>
    <w:p w14:paraId="0FADB333" w14:textId="4876CBCC" w:rsidR="00332B9E" w:rsidRPr="000269E1" w:rsidRDefault="00976C41" w:rsidP="000269E1">
      <w:pPr>
        <w:pStyle w:val="Nagwek1"/>
        <w:jc w:val="left"/>
      </w:pPr>
      <w:r w:rsidRPr="000269E1">
        <w:t xml:space="preserve">Duże zmiany w kredytach hipotecznych </w:t>
      </w:r>
      <w:r w:rsidR="00FF6B07" w:rsidRPr="000269E1">
        <w:t>o</w:t>
      </w:r>
      <w:r w:rsidRPr="000269E1">
        <w:t>d 1 kwietnia</w:t>
      </w:r>
      <w:r w:rsidR="00FF6B07" w:rsidRPr="000269E1">
        <w:t xml:space="preserve"> – co robić?</w:t>
      </w:r>
    </w:p>
    <w:p w14:paraId="293F4489" w14:textId="6F48CC2C" w:rsidR="003E5D36" w:rsidRPr="000269E1" w:rsidRDefault="003E5D36" w:rsidP="000269E1">
      <w:pPr>
        <w:spacing w:after="0"/>
        <w:ind w:firstLine="0"/>
        <w:rPr>
          <w:rFonts w:ascii="Lato" w:hAnsi="Lato"/>
          <w:b/>
          <w:bCs/>
          <w:szCs w:val="24"/>
        </w:rPr>
      </w:pPr>
    </w:p>
    <w:p w14:paraId="4FAC1E2D" w14:textId="4A023AEB" w:rsidR="005F67E0" w:rsidRPr="000269E1" w:rsidRDefault="00ED4296" w:rsidP="000269E1">
      <w:pPr>
        <w:spacing w:after="0"/>
        <w:ind w:firstLine="0"/>
        <w:rPr>
          <w:rFonts w:ascii="Lato" w:hAnsi="Lato"/>
          <w:b/>
          <w:bCs/>
          <w:szCs w:val="24"/>
        </w:rPr>
      </w:pPr>
      <w:r w:rsidRPr="000269E1">
        <w:rPr>
          <w:rFonts w:ascii="Lato" w:hAnsi="Lato"/>
          <w:b/>
          <w:bCs/>
          <w:szCs w:val="24"/>
        </w:rPr>
        <w:t xml:space="preserve">Nadchodząca </w:t>
      </w:r>
      <w:r w:rsidR="00FF6B07" w:rsidRPr="000269E1">
        <w:rPr>
          <w:rFonts w:ascii="Lato" w:hAnsi="Lato"/>
          <w:b/>
          <w:bCs/>
          <w:szCs w:val="24"/>
        </w:rPr>
        <w:t xml:space="preserve">z dniem 1 kwietnia </w:t>
      </w:r>
      <w:r w:rsidRPr="000269E1">
        <w:rPr>
          <w:rFonts w:ascii="Lato" w:hAnsi="Lato"/>
          <w:b/>
          <w:bCs/>
          <w:szCs w:val="24"/>
        </w:rPr>
        <w:t xml:space="preserve">zmiana polityki pieniężnej ma dotyczyć przede wszystkim osób, które planują zakup nieruchomości. </w:t>
      </w:r>
      <w:r w:rsidR="00925C83" w:rsidRPr="000269E1">
        <w:rPr>
          <w:rFonts w:ascii="Lato" w:hAnsi="Lato"/>
          <w:b/>
          <w:bCs/>
          <w:szCs w:val="24"/>
        </w:rPr>
        <w:t xml:space="preserve">Rada </w:t>
      </w:r>
      <w:r w:rsidR="00FF6B07" w:rsidRPr="000269E1">
        <w:rPr>
          <w:rFonts w:ascii="Lato" w:hAnsi="Lato"/>
          <w:b/>
          <w:bCs/>
          <w:szCs w:val="24"/>
        </w:rPr>
        <w:t>P</w:t>
      </w:r>
      <w:r w:rsidR="00925C83" w:rsidRPr="000269E1">
        <w:rPr>
          <w:rFonts w:ascii="Lato" w:hAnsi="Lato"/>
          <w:b/>
          <w:bCs/>
          <w:szCs w:val="24"/>
        </w:rPr>
        <w:t xml:space="preserve">olityki </w:t>
      </w:r>
      <w:r w:rsidR="00FF6B07" w:rsidRPr="000269E1">
        <w:rPr>
          <w:rFonts w:ascii="Lato" w:hAnsi="Lato"/>
          <w:b/>
          <w:bCs/>
          <w:szCs w:val="24"/>
        </w:rPr>
        <w:t>P</w:t>
      </w:r>
      <w:r w:rsidR="00925C83" w:rsidRPr="000269E1">
        <w:rPr>
          <w:rFonts w:ascii="Lato" w:hAnsi="Lato"/>
          <w:b/>
          <w:bCs/>
          <w:szCs w:val="24"/>
        </w:rPr>
        <w:t>ieniężnej sukcesywnie podnosi w ostatnim czasie stopy procentowe</w:t>
      </w:r>
      <w:r w:rsidR="00143D00" w:rsidRPr="000269E1">
        <w:rPr>
          <w:rFonts w:ascii="Lato" w:hAnsi="Lato"/>
          <w:b/>
          <w:bCs/>
          <w:szCs w:val="24"/>
        </w:rPr>
        <w:t>, co wiąże się bezpośrednio z podwyżkami u wszystkich osób spłacających kredyty</w:t>
      </w:r>
      <w:r w:rsidR="00FF6B07" w:rsidRPr="000269E1">
        <w:rPr>
          <w:rFonts w:ascii="Lato" w:hAnsi="Lato"/>
          <w:b/>
          <w:bCs/>
          <w:szCs w:val="24"/>
        </w:rPr>
        <w:t xml:space="preserve"> hipoteczne</w:t>
      </w:r>
      <w:r w:rsidR="00143D00" w:rsidRPr="000269E1">
        <w:rPr>
          <w:rFonts w:ascii="Lato" w:hAnsi="Lato"/>
          <w:b/>
          <w:bCs/>
          <w:szCs w:val="24"/>
        </w:rPr>
        <w:t>.</w:t>
      </w:r>
      <w:r w:rsidR="005226B3" w:rsidRPr="000269E1">
        <w:rPr>
          <w:rFonts w:ascii="Lato" w:hAnsi="Lato"/>
          <w:b/>
          <w:bCs/>
          <w:szCs w:val="24"/>
        </w:rPr>
        <w:t xml:space="preserve"> Na zaostrzone warunki udzielania kredytów powinny przygotować się również osoby, które właśnie rozważają </w:t>
      </w:r>
      <w:r w:rsidR="00456A1F" w:rsidRPr="000269E1">
        <w:rPr>
          <w:rFonts w:ascii="Lato" w:hAnsi="Lato"/>
          <w:b/>
          <w:bCs/>
          <w:szCs w:val="24"/>
        </w:rPr>
        <w:t xml:space="preserve">zaciągnięcie </w:t>
      </w:r>
      <w:r w:rsidR="00FF6B07" w:rsidRPr="000269E1">
        <w:rPr>
          <w:rFonts w:ascii="Lato" w:hAnsi="Lato"/>
          <w:b/>
          <w:bCs/>
          <w:szCs w:val="24"/>
        </w:rPr>
        <w:t>takiego zobowiązania</w:t>
      </w:r>
      <w:r w:rsidR="00456A1F" w:rsidRPr="000269E1">
        <w:rPr>
          <w:rFonts w:ascii="Lato" w:hAnsi="Lato"/>
          <w:b/>
          <w:bCs/>
          <w:szCs w:val="24"/>
        </w:rPr>
        <w:t>. Jakie zmiany przyniesie kwiecień 2022 roku?</w:t>
      </w:r>
      <w:r w:rsidR="000269E1">
        <w:rPr>
          <w:rFonts w:ascii="Lato" w:hAnsi="Lato"/>
          <w:b/>
          <w:bCs/>
          <w:szCs w:val="24"/>
        </w:rPr>
        <w:t xml:space="preserve"> </w:t>
      </w:r>
      <w:r w:rsidR="005F67E0" w:rsidRPr="000269E1">
        <w:rPr>
          <w:rFonts w:ascii="Lato" w:hAnsi="Lato"/>
          <w:b/>
          <w:bCs/>
          <w:szCs w:val="24"/>
        </w:rPr>
        <w:t>Jakie zmiany mogliśmy zauważyć na rynku kredytów hipotecznych w ostatnim czasie?</w:t>
      </w:r>
    </w:p>
    <w:p w14:paraId="3F1A1474" w14:textId="77777777" w:rsidR="00AA6C28" w:rsidRPr="000269E1" w:rsidRDefault="00AA6C28" w:rsidP="000269E1">
      <w:pPr>
        <w:spacing w:after="0"/>
        <w:ind w:firstLine="0"/>
        <w:rPr>
          <w:rFonts w:ascii="Lato" w:hAnsi="Lato"/>
          <w:b/>
          <w:bCs/>
          <w:szCs w:val="24"/>
        </w:rPr>
      </w:pPr>
    </w:p>
    <w:p w14:paraId="53A7BCDE" w14:textId="76D427A0" w:rsidR="00AA6C28" w:rsidRPr="000269E1" w:rsidRDefault="005F67E0" w:rsidP="000269E1">
      <w:pPr>
        <w:spacing w:after="0"/>
        <w:ind w:firstLine="0"/>
        <w:rPr>
          <w:rFonts w:ascii="Lato" w:hAnsi="Lato"/>
          <w:szCs w:val="24"/>
        </w:rPr>
      </w:pPr>
      <w:r w:rsidRPr="000269E1">
        <w:rPr>
          <w:rFonts w:ascii="Lato" w:hAnsi="Lato"/>
          <w:szCs w:val="24"/>
        </w:rPr>
        <w:t xml:space="preserve">2021 rok przyniósł rekordowe wyniki dla segmentu kredytów hipotecznych. Do końca roku banki udzieliły aż 192 tys. kredytów, a łączna wartość portfela kredytobiorców wyniosła ponad 500 mld złotych. Nowy rok </w:t>
      </w:r>
      <w:r w:rsidR="000269E1">
        <w:rPr>
          <w:rFonts w:ascii="Lato" w:hAnsi="Lato"/>
          <w:szCs w:val="24"/>
        </w:rPr>
        <w:t>to</w:t>
      </w:r>
      <w:r w:rsidRPr="000269E1">
        <w:rPr>
          <w:rFonts w:ascii="Lato" w:hAnsi="Lato"/>
          <w:szCs w:val="24"/>
        </w:rPr>
        <w:t xml:space="preserve"> również zmiany w postaci podwyżek stóp procentowych, ale także gazu czy prądu</w:t>
      </w:r>
      <w:r w:rsidR="00FF6B07" w:rsidRPr="000269E1">
        <w:rPr>
          <w:rFonts w:ascii="Lato" w:hAnsi="Lato"/>
          <w:szCs w:val="24"/>
        </w:rPr>
        <w:t>,</w:t>
      </w:r>
      <w:r w:rsidRPr="000269E1">
        <w:rPr>
          <w:rFonts w:ascii="Lato" w:hAnsi="Lato"/>
          <w:szCs w:val="24"/>
        </w:rPr>
        <w:t xml:space="preserve"> co według przewidywań ma przełożyć się</w:t>
      </w:r>
      <w:r w:rsidR="000269E1">
        <w:rPr>
          <w:rFonts w:ascii="Lato" w:hAnsi="Lato"/>
          <w:szCs w:val="24"/>
        </w:rPr>
        <w:t xml:space="preserve"> na</w:t>
      </w:r>
      <w:r w:rsidRPr="000269E1">
        <w:rPr>
          <w:rFonts w:ascii="Lato" w:hAnsi="Lato"/>
          <w:szCs w:val="24"/>
        </w:rPr>
        <w:t xml:space="preserve"> 10</w:t>
      </w:r>
      <w:r w:rsidR="00FF6B07" w:rsidRPr="000269E1">
        <w:rPr>
          <w:rFonts w:ascii="Lato" w:hAnsi="Lato"/>
          <w:szCs w:val="24"/>
        </w:rPr>
        <w:t>%</w:t>
      </w:r>
      <w:r w:rsidRPr="000269E1">
        <w:rPr>
          <w:rFonts w:ascii="Lato" w:hAnsi="Lato"/>
          <w:szCs w:val="24"/>
        </w:rPr>
        <w:t xml:space="preserve"> lub nawet 20% spad</w:t>
      </w:r>
      <w:r w:rsidR="000269E1">
        <w:rPr>
          <w:rFonts w:ascii="Lato" w:hAnsi="Lato"/>
          <w:szCs w:val="24"/>
        </w:rPr>
        <w:t>ku</w:t>
      </w:r>
      <w:r w:rsidRPr="000269E1">
        <w:rPr>
          <w:rFonts w:ascii="Lato" w:hAnsi="Lato"/>
          <w:szCs w:val="24"/>
        </w:rPr>
        <w:t xml:space="preserve"> zainteresowania kredytami. </w:t>
      </w:r>
    </w:p>
    <w:p w14:paraId="1B49154B" w14:textId="77777777" w:rsidR="00AA6C28" w:rsidRPr="000269E1" w:rsidRDefault="00AA6C28" w:rsidP="000269E1">
      <w:pPr>
        <w:spacing w:after="0"/>
        <w:ind w:firstLine="0"/>
        <w:rPr>
          <w:rFonts w:ascii="Lato" w:hAnsi="Lato"/>
          <w:szCs w:val="24"/>
        </w:rPr>
      </w:pPr>
    </w:p>
    <w:p w14:paraId="37EE652C" w14:textId="3F0A0A3C" w:rsidR="005F67E0" w:rsidRPr="000269E1" w:rsidRDefault="00FF6B07" w:rsidP="000269E1">
      <w:pPr>
        <w:spacing w:after="0"/>
        <w:ind w:firstLine="0"/>
        <w:rPr>
          <w:rFonts w:ascii="Lato" w:hAnsi="Lato"/>
          <w:szCs w:val="24"/>
        </w:rPr>
      </w:pPr>
      <w:r w:rsidRPr="000269E1">
        <w:rPr>
          <w:rFonts w:ascii="Lato" w:hAnsi="Lato"/>
          <w:szCs w:val="24"/>
        </w:rPr>
        <w:t xml:space="preserve">– </w:t>
      </w:r>
      <w:r w:rsidR="005F67E0" w:rsidRPr="000269E1">
        <w:rPr>
          <w:rFonts w:ascii="Lato" w:hAnsi="Lato"/>
          <w:i/>
          <w:iCs/>
          <w:szCs w:val="24"/>
        </w:rPr>
        <w:t>Stawki WIBOR nieustanie rosną, a Rada Polityki Pieniężnej systematycznie podnosi stopy procentowe. W tym wypadku zdecydowani na pożyczkę kredytobiorcy</w:t>
      </w:r>
      <w:r w:rsidR="00B32F88">
        <w:rPr>
          <w:rFonts w:ascii="Lato" w:hAnsi="Lato"/>
          <w:i/>
          <w:iCs/>
          <w:szCs w:val="24"/>
        </w:rPr>
        <w:t>, którzy realnie chcą zainwestować w nieruchomość,</w:t>
      </w:r>
      <w:r w:rsidR="005F67E0" w:rsidRPr="000269E1">
        <w:rPr>
          <w:rFonts w:ascii="Lato" w:hAnsi="Lato"/>
          <w:i/>
          <w:iCs/>
          <w:szCs w:val="24"/>
        </w:rPr>
        <w:t xml:space="preserve"> powinni spieszyć się przed końcem miesiąca lub skorzystać z alternatywnych rozwiązań, które banki proponują w tej sytuacji</w:t>
      </w:r>
      <w:r w:rsidR="005F67E0" w:rsidRPr="000269E1">
        <w:rPr>
          <w:rFonts w:ascii="Lato" w:hAnsi="Lato"/>
          <w:szCs w:val="24"/>
        </w:rPr>
        <w:t xml:space="preserve"> – mówi Paweł Kuczera</w:t>
      </w:r>
      <w:r w:rsidR="004909EA" w:rsidRPr="000269E1">
        <w:rPr>
          <w:rFonts w:ascii="Lato" w:hAnsi="Lato"/>
          <w:szCs w:val="24"/>
        </w:rPr>
        <w:t>,</w:t>
      </w:r>
      <w:r w:rsidR="005F67E0" w:rsidRPr="000269E1">
        <w:rPr>
          <w:rFonts w:ascii="Lato" w:hAnsi="Lato"/>
          <w:szCs w:val="24"/>
        </w:rPr>
        <w:t xml:space="preserve"> </w:t>
      </w:r>
      <w:r w:rsidR="004909EA" w:rsidRPr="000269E1">
        <w:rPr>
          <w:rFonts w:ascii="Lato" w:hAnsi="Lato"/>
          <w:szCs w:val="24"/>
        </w:rPr>
        <w:t xml:space="preserve">Prezes Zarządu firmy </w:t>
      </w:r>
      <w:r w:rsidR="005F67E0" w:rsidRPr="000269E1">
        <w:rPr>
          <w:rFonts w:ascii="Lato" w:hAnsi="Lato"/>
          <w:szCs w:val="24"/>
        </w:rPr>
        <w:t>Horyzont Inwestycji. Wzrost stóp procentowych uderzył po portfelach os</w:t>
      </w:r>
      <w:r w:rsidRPr="000269E1">
        <w:rPr>
          <w:rFonts w:ascii="Lato" w:hAnsi="Lato"/>
          <w:szCs w:val="24"/>
        </w:rPr>
        <w:t>oby</w:t>
      </w:r>
      <w:r w:rsidR="005F67E0" w:rsidRPr="000269E1">
        <w:rPr>
          <w:rFonts w:ascii="Lato" w:hAnsi="Lato"/>
          <w:szCs w:val="24"/>
        </w:rPr>
        <w:t xml:space="preserve"> spłacając</w:t>
      </w:r>
      <w:r w:rsidRPr="000269E1">
        <w:rPr>
          <w:rFonts w:ascii="Lato" w:hAnsi="Lato"/>
          <w:szCs w:val="24"/>
        </w:rPr>
        <w:t>e</w:t>
      </w:r>
      <w:r w:rsidR="005F67E0" w:rsidRPr="000269E1">
        <w:rPr>
          <w:rFonts w:ascii="Lato" w:hAnsi="Lato"/>
          <w:szCs w:val="24"/>
        </w:rPr>
        <w:t xml:space="preserve"> już zaciągnięte kredyty. W tej chwili w wyniku podwyżek klienci indywidualni banków zmagają się z podwyżkami na poziomie </w:t>
      </w:r>
      <w:r w:rsidR="00B32F88">
        <w:rPr>
          <w:rFonts w:ascii="Lato" w:hAnsi="Lato"/>
          <w:szCs w:val="24"/>
        </w:rPr>
        <w:t xml:space="preserve">w granicach </w:t>
      </w:r>
      <w:r w:rsidR="005F67E0" w:rsidRPr="000269E1">
        <w:rPr>
          <w:rFonts w:ascii="Lato" w:hAnsi="Lato"/>
          <w:szCs w:val="24"/>
        </w:rPr>
        <w:t>dodatkowych 300-700 złotych</w:t>
      </w:r>
      <w:r w:rsidRPr="000269E1">
        <w:rPr>
          <w:rFonts w:ascii="Lato" w:hAnsi="Lato"/>
          <w:szCs w:val="24"/>
        </w:rPr>
        <w:t>, w zależności</w:t>
      </w:r>
      <w:r w:rsidR="005F67E0" w:rsidRPr="000269E1">
        <w:rPr>
          <w:rFonts w:ascii="Lato" w:hAnsi="Lato"/>
          <w:szCs w:val="24"/>
        </w:rPr>
        <w:t xml:space="preserve"> od warunków konkretnych umów.</w:t>
      </w:r>
    </w:p>
    <w:p w14:paraId="2C77F779" w14:textId="77777777" w:rsidR="00AA6C28" w:rsidRPr="000269E1" w:rsidRDefault="00AA6C28" w:rsidP="000269E1">
      <w:pPr>
        <w:spacing w:after="0"/>
        <w:ind w:firstLine="0"/>
        <w:rPr>
          <w:rFonts w:ascii="Lato" w:hAnsi="Lato"/>
          <w:szCs w:val="24"/>
        </w:rPr>
      </w:pPr>
    </w:p>
    <w:p w14:paraId="06A80408" w14:textId="1E88D1C2" w:rsidR="005A178F" w:rsidRPr="000269E1" w:rsidRDefault="004A53AF" w:rsidP="000269E1">
      <w:pPr>
        <w:spacing w:after="0"/>
        <w:ind w:firstLine="0"/>
        <w:rPr>
          <w:rFonts w:ascii="Lato" w:hAnsi="Lato"/>
          <w:b/>
          <w:bCs/>
          <w:szCs w:val="24"/>
        </w:rPr>
      </w:pPr>
      <w:r w:rsidRPr="000269E1">
        <w:rPr>
          <w:rFonts w:ascii="Lato" w:hAnsi="Lato"/>
          <w:b/>
          <w:bCs/>
          <w:szCs w:val="24"/>
        </w:rPr>
        <w:lastRenderedPageBreak/>
        <w:t xml:space="preserve">Alternatywne rozwiązanie </w:t>
      </w:r>
      <w:r w:rsidR="00A267C4" w:rsidRPr="000269E1">
        <w:rPr>
          <w:rFonts w:ascii="Lato" w:hAnsi="Lato"/>
          <w:b/>
          <w:bCs/>
          <w:szCs w:val="24"/>
        </w:rPr>
        <w:t>problemów</w:t>
      </w:r>
      <w:r w:rsidR="00682BCD" w:rsidRPr="000269E1">
        <w:rPr>
          <w:rFonts w:ascii="Lato" w:hAnsi="Lato"/>
          <w:b/>
          <w:bCs/>
          <w:szCs w:val="24"/>
        </w:rPr>
        <w:t xml:space="preserve"> dla zainteresowanych </w:t>
      </w:r>
      <w:r w:rsidR="00FF6B07" w:rsidRPr="000269E1">
        <w:rPr>
          <w:rFonts w:ascii="Lato" w:hAnsi="Lato"/>
          <w:b/>
          <w:bCs/>
          <w:szCs w:val="24"/>
        </w:rPr>
        <w:t>kredytem</w:t>
      </w:r>
    </w:p>
    <w:p w14:paraId="5FA5D61A" w14:textId="4848AFE4" w:rsidR="003E6456" w:rsidRPr="000269E1" w:rsidRDefault="003E6456" w:rsidP="000269E1">
      <w:pPr>
        <w:spacing w:after="0"/>
        <w:ind w:firstLine="0"/>
        <w:rPr>
          <w:rFonts w:ascii="Lato" w:hAnsi="Lato"/>
          <w:b/>
          <w:bCs/>
          <w:szCs w:val="24"/>
        </w:rPr>
      </w:pPr>
      <w:r w:rsidRPr="000269E1">
        <w:rPr>
          <w:rFonts w:ascii="Lato" w:hAnsi="Lato"/>
          <w:szCs w:val="24"/>
        </w:rPr>
        <w:t>W ostatnim czasie banki zaostrzyły wszelkie procedury związane z przyznawaniem nowych kredytów</w:t>
      </w:r>
      <w:r w:rsidR="00FF6B07" w:rsidRPr="000269E1">
        <w:rPr>
          <w:rFonts w:ascii="Lato" w:hAnsi="Lato"/>
          <w:szCs w:val="24"/>
        </w:rPr>
        <w:t xml:space="preserve"> hipotecznych</w:t>
      </w:r>
      <w:r w:rsidRPr="000269E1">
        <w:rPr>
          <w:rFonts w:ascii="Lato" w:hAnsi="Lato"/>
          <w:szCs w:val="24"/>
        </w:rPr>
        <w:t xml:space="preserve">. Bezpośredni wpływ na nowy stan rzeczy ma kwestia pandemii oraz </w:t>
      </w:r>
      <w:r w:rsidR="00FF6B07" w:rsidRPr="000269E1">
        <w:rPr>
          <w:rFonts w:ascii="Lato" w:hAnsi="Lato"/>
          <w:szCs w:val="24"/>
        </w:rPr>
        <w:t>skomplikowana sytuacja geopolityczna</w:t>
      </w:r>
      <w:r w:rsidRPr="000269E1">
        <w:rPr>
          <w:rFonts w:ascii="Lato" w:hAnsi="Lato"/>
          <w:szCs w:val="24"/>
        </w:rPr>
        <w:t xml:space="preserve">. Z tego powodu </w:t>
      </w:r>
      <w:r w:rsidR="00B32F88">
        <w:rPr>
          <w:rFonts w:ascii="Lato" w:hAnsi="Lato"/>
          <w:szCs w:val="24"/>
        </w:rPr>
        <w:t>wzmocniono i poszerzono</w:t>
      </w:r>
      <w:r w:rsidRPr="000269E1">
        <w:rPr>
          <w:rFonts w:ascii="Lato" w:hAnsi="Lato"/>
          <w:szCs w:val="24"/>
        </w:rPr>
        <w:t xml:space="preserve"> wytyczne dotyczące zdolności kredytowej. Aby uchronić przyszłych kredytobiorców od skutków niestabilnego rynku, banki wprowadziły do swojej oferty zamrożenie oprocentowania kredytowego na pierwsze 5 </w:t>
      </w:r>
      <w:r w:rsidR="00FF6B07" w:rsidRPr="000269E1">
        <w:rPr>
          <w:rFonts w:ascii="Lato" w:hAnsi="Lato"/>
          <w:szCs w:val="24"/>
        </w:rPr>
        <w:t xml:space="preserve">lub 10 </w:t>
      </w:r>
      <w:r w:rsidRPr="000269E1">
        <w:rPr>
          <w:rFonts w:ascii="Lato" w:hAnsi="Lato"/>
          <w:szCs w:val="24"/>
        </w:rPr>
        <w:t xml:space="preserve">lat spłacania kredytu. </w:t>
      </w:r>
      <w:r w:rsidR="00FF6B07" w:rsidRPr="000269E1">
        <w:rPr>
          <w:rFonts w:ascii="Lato" w:hAnsi="Lato"/>
          <w:szCs w:val="24"/>
        </w:rPr>
        <w:t>Po upłynięciu tego okresu</w:t>
      </w:r>
      <w:r w:rsidRPr="000269E1">
        <w:rPr>
          <w:rFonts w:ascii="Lato" w:hAnsi="Lato"/>
          <w:szCs w:val="24"/>
        </w:rPr>
        <w:t xml:space="preserve"> klienci mogą negocjować z bankiem nową umowę. </w:t>
      </w:r>
      <w:r w:rsidR="004909EA" w:rsidRPr="000269E1">
        <w:rPr>
          <w:rFonts w:ascii="Lato" w:hAnsi="Lato"/>
          <w:szCs w:val="24"/>
        </w:rPr>
        <w:t>W obecnej sytuacji,</w:t>
      </w:r>
      <w:r w:rsidRPr="000269E1">
        <w:rPr>
          <w:rFonts w:ascii="Lato" w:hAnsi="Lato"/>
          <w:szCs w:val="24"/>
        </w:rPr>
        <w:t xml:space="preserve"> gdy oprocentowanie kredytów sięga aż 6%, mogą rozważyć to jako opcję, chroniącą ich przed kolejnymi podwyżkami.</w:t>
      </w:r>
    </w:p>
    <w:p w14:paraId="0D31EE50" w14:textId="77777777" w:rsidR="00AA6C28" w:rsidRPr="000269E1" w:rsidRDefault="00AA6C28" w:rsidP="000269E1">
      <w:pPr>
        <w:spacing w:after="0"/>
        <w:ind w:firstLine="0"/>
        <w:rPr>
          <w:rFonts w:ascii="Lato" w:hAnsi="Lato"/>
          <w:b/>
          <w:bCs/>
          <w:szCs w:val="24"/>
        </w:rPr>
      </w:pPr>
    </w:p>
    <w:p w14:paraId="5A552145" w14:textId="5DC29744" w:rsidR="005A178F" w:rsidRPr="000269E1" w:rsidRDefault="005A178F" w:rsidP="000269E1">
      <w:pPr>
        <w:spacing w:after="0"/>
        <w:ind w:firstLine="0"/>
        <w:rPr>
          <w:rFonts w:ascii="Lato" w:hAnsi="Lato"/>
          <w:b/>
          <w:bCs/>
          <w:szCs w:val="24"/>
        </w:rPr>
      </w:pPr>
      <w:r w:rsidRPr="000269E1">
        <w:rPr>
          <w:rFonts w:ascii="Lato" w:hAnsi="Lato"/>
          <w:b/>
          <w:bCs/>
          <w:szCs w:val="24"/>
        </w:rPr>
        <w:t>Jakie zmiany czekają na kredytobiorców od kwietnia 2022 roku?</w:t>
      </w:r>
    </w:p>
    <w:p w14:paraId="143606DA" w14:textId="6C9E9942" w:rsidR="004909EA" w:rsidRPr="000269E1" w:rsidRDefault="00B870BA" w:rsidP="000269E1">
      <w:pPr>
        <w:spacing w:after="0"/>
        <w:ind w:firstLine="0"/>
        <w:rPr>
          <w:rFonts w:ascii="Lato" w:hAnsi="Lato"/>
          <w:szCs w:val="24"/>
        </w:rPr>
      </w:pPr>
      <w:r w:rsidRPr="000269E1">
        <w:rPr>
          <w:rFonts w:ascii="Lato" w:hAnsi="Lato"/>
          <w:szCs w:val="24"/>
        </w:rPr>
        <w:t>W chwili obecnej n</w:t>
      </w:r>
      <w:r w:rsidR="00217AA8" w:rsidRPr="000269E1">
        <w:rPr>
          <w:rFonts w:ascii="Lato" w:hAnsi="Lato"/>
          <w:szCs w:val="24"/>
        </w:rPr>
        <w:t>apięta atmosfera na rynku</w:t>
      </w:r>
      <w:r w:rsidR="007D5358" w:rsidRPr="000269E1">
        <w:rPr>
          <w:rFonts w:ascii="Lato" w:hAnsi="Lato"/>
          <w:szCs w:val="24"/>
        </w:rPr>
        <w:t>, szereg artykułów</w:t>
      </w:r>
      <w:r w:rsidR="004909EA" w:rsidRPr="000269E1">
        <w:rPr>
          <w:rFonts w:ascii="Lato" w:hAnsi="Lato"/>
          <w:szCs w:val="24"/>
        </w:rPr>
        <w:t>,</w:t>
      </w:r>
      <w:r w:rsidR="007D5358" w:rsidRPr="000269E1">
        <w:rPr>
          <w:rFonts w:ascii="Lato" w:hAnsi="Lato"/>
          <w:szCs w:val="24"/>
        </w:rPr>
        <w:t xml:space="preserve"> któr</w:t>
      </w:r>
      <w:r w:rsidR="004909EA" w:rsidRPr="000269E1">
        <w:rPr>
          <w:rFonts w:ascii="Lato" w:hAnsi="Lato"/>
          <w:szCs w:val="24"/>
        </w:rPr>
        <w:t xml:space="preserve">ych nagłówki </w:t>
      </w:r>
      <w:r w:rsidR="007D5358" w:rsidRPr="000269E1">
        <w:rPr>
          <w:rFonts w:ascii="Lato" w:hAnsi="Lato"/>
          <w:szCs w:val="24"/>
        </w:rPr>
        <w:t xml:space="preserve">krzyczą </w:t>
      </w:r>
      <w:r w:rsidR="00AA7375" w:rsidRPr="000269E1">
        <w:rPr>
          <w:rFonts w:ascii="Lato" w:hAnsi="Lato"/>
          <w:szCs w:val="24"/>
        </w:rPr>
        <w:t>o załamaniu na ry</w:t>
      </w:r>
      <w:r w:rsidR="00730D2D" w:rsidRPr="000269E1">
        <w:rPr>
          <w:rFonts w:ascii="Lato" w:hAnsi="Lato"/>
          <w:szCs w:val="24"/>
        </w:rPr>
        <w:t>nk</w:t>
      </w:r>
      <w:r w:rsidR="00AA7375" w:rsidRPr="000269E1">
        <w:rPr>
          <w:rFonts w:ascii="Lato" w:hAnsi="Lato"/>
          <w:szCs w:val="24"/>
        </w:rPr>
        <w:t>u, w wyniku którego banki nie będą udzielać kredytów</w:t>
      </w:r>
      <w:r w:rsidR="00175325" w:rsidRPr="000269E1">
        <w:rPr>
          <w:rFonts w:ascii="Lato" w:hAnsi="Lato"/>
          <w:szCs w:val="24"/>
        </w:rPr>
        <w:t>,</w:t>
      </w:r>
      <w:r w:rsidR="0019762F" w:rsidRPr="000269E1">
        <w:rPr>
          <w:rFonts w:ascii="Lato" w:hAnsi="Lato"/>
          <w:szCs w:val="24"/>
        </w:rPr>
        <w:t xml:space="preserve"> budz</w:t>
      </w:r>
      <w:r w:rsidR="004909EA" w:rsidRPr="000269E1">
        <w:rPr>
          <w:rFonts w:ascii="Lato" w:hAnsi="Lato"/>
          <w:szCs w:val="24"/>
        </w:rPr>
        <w:t>ą</w:t>
      </w:r>
      <w:r w:rsidR="0019762F" w:rsidRPr="000269E1">
        <w:rPr>
          <w:rFonts w:ascii="Lato" w:hAnsi="Lato"/>
          <w:szCs w:val="24"/>
        </w:rPr>
        <w:t xml:space="preserve"> obawy u przyszłych kredytobiorców</w:t>
      </w:r>
      <w:r w:rsidR="00AA7375" w:rsidRPr="000269E1">
        <w:rPr>
          <w:rFonts w:ascii="Lato" w:hAnsi="Lato"/>
          <w:szCs w:val="24"/>
        </w:rPr>
        <w:t>.</w:t>
      </w:r>
      <w:r w:rsidR="006E2C15" w:rsidRPr="000269E1">
        <w:rPr>
          <w:rFonts w:ascii="Lato" w:hAnsi="Lato"/>
          <w:szCs w:val="24"/>
        </w:rPr>
        <w:t xml:space="preserve"> </w:t>
      </w:r>
      <w:r w:rsidR="004909EA" w:rsidRPr="000269E1">
        <w:rPr>
          <w:rFonts w:ascii="Lato" w:hAnsi="Lato"/>
          <w:szCs w:val="24"/>
        </w:rPr>
        <w:t>Strach nie jest jednak dobrym doradcą</w:t>
      </w:r>
      <w:r w:rsidR="00B32F88">
        <w:rPr>
          <w:rFonts w:ascii="Lato" w:hAnsi="Lato"/>
          <w:szCs w:val="24"/>
        </w:rPr>
        <w:t>, m</w:t>
      </w:r>
      <w:r w:rsidR="004909EA" w:rsidRPr="000269E1">
        <w:rPr>
          <w:rFonts w:ascii="Lato" w:hAnsi="Lato"/>
          <w:szCs w:val="24"/>
        </w:rPr>
        <w:t>imo że b</w:t>
      </w:r>
      <w:r w:rsidR="003566DA" w:rsidRPr="000269E1">
        <w:rPr>
          <w:rFonts w:ascii="Lato" w:hAnsi="Lato"/>
          <w:szCs w:val="24"/>
        </w:rPr>
        <w:t>anki zmieniają swoj</w:t>
      </w:r>
      <w:r w:rsidR="004909EA" w:rsidRPr="000269E1">
        <w:rPr>
          <w:rFonts w:ascii="Lato" w:hAnsi="Lato"/>
          <w:szCs w:val="24"/>
        </w:rPr>
        <w:t>ą</w:t>
      </w:r>
      <w:r w:rsidR="003566DA" w:rsidRPr="000269E1">
        <w:rPr>
          <w:rFonts w:ascii="Lato" w:hAnsi="Lato"/>
          <w:szCs w:val="24"/>
        </w:rPr>
        <w:t xml:space="preserve"> politykę udzielania kredytów hipotecznych</w:t>
      </w:r>
      <w:r w:rsidR="004909EA" w:rsidRPr="000269E1">
        <w:rPr>
          <w:rFonts w:ascii="Lato" w:hAnsi="Lato"/>
          <w:szCs w:val="24"/>
        </w:rPr>
        <w:t>,</w:t>
      </w:r>
      <w:r w:rsidR="000B1251" w:rsidRPr="000269E1">
        <w:rPr>
          <w:rFonts w:ascii="Lato" w:hAnsi="Lato"/>
          <w:szCs w:val="24"/>
        </w:rPr>
        <w:t xml:space="preserve"> wprowadzając surowsze </w:t>
      </w:r>
      <w:r w:rsidR="001F168E" w:rsidRPr="000269E1">
        <w:rPr>
          <w:rFonts w:ascii="Lato" w:hAnsi="Lato"/>
          <w:szCs w:val="24"/>
        </w:rPr>
        <w:t xml:space="preserve">wytyczne dotyczące zdolności kredytowej. </w:t>
      </w:r>
      <w:r w:rsidR="004909EA" w:rsidRPr="000269E1">
        <w:rPr>
          <w:rFonts w:ascii="Lato" w:hAnsi="Lato"/>
          <w:szCs w:val="24"/>
        </w:rPr>
        <w:t xml:space="preserve">– </w:t>
      </w:r>
      <w:r w:rsidR="00497EDD" w:rsidRPr="00497EDD">
        <w:rPr>
          <w:rFonts w:ascii="Lato" w:hAnsi="Lato"/>
          <w:i/>
          <w:iCs/>
          <w:szCs w:val="24"/>
        </w:rPr>
        <w:t xml:space="preserve">W sytuacji kryzysu gospodarczego wywołanego przez pandemię oraz sytuację polityczną za naszą wschodnią granicą, banki dyktują warunki, którym kredytobiorcom może być coraz trudniej sprostać </w:t>
      </w:r>
      <w:r w:rsidR="00A73366" w:rsidRPr="000269E1">
        <w:rPr>
          <w:rFonts w:ascii="Lato" w:hAnsi="Lato"/>
          <w:szCs w:val="24"/>
        </w:rPr>
        <w:t xml:space="preserve">– </w:t>
      </w:r>
      <w:r w:rsidR="004909EA" w:rsidRPr="000269E1">
        <w:rPr>
          <w:rFonts w:ascii="Lato" w:hAnsi="Lato"/>
          <w:szCs w:val="24"/>
        </w:rPr>
        <w:t>wyjaśnia</w:t>
      </w:r>
      <w:r w:rsidR="00A73366" w:rsidRPr="000269E1">
        <w:rPr>
          <w:rFonts w:ascii="Lato" w:hAnsi="Lato"/>
          <w:szCs w:val="24"/>
        </w:rPr>
        <w:t xml:space="preserve"> Paweł Kuczera</w:t>
      </w:r>
      <w:r w:rsidR="004909EA" w:rsidRPr="000269E1">
        <w:rPr>
          <w:rFonts w:ascii="Lato" w:hAnsi="Lato"/>
          <w:szCs w:val="24"/>
        </w:rPr>
        <w:t xml:space="preserve">, </w:t>
      </w:r>
      <w:r w:rsidR="00A73366" w:rsidRPr="000269E1">
        <w:rPr>
          <w:rFonts w:ascii="Lato" w:hAnsi="Lato"/>
          <w:szCs w:val="24"/>
        </w:rPr>
        <w:t>Horyzontu Inwestycji.</w:t>
      </w:r>
      <w:r w:rsidR="005E517D" w:rsidRPr="000269E1">
        <w:rPr>
          <w:rFonts w:ascii="Lato" w:hAnsi="Lato"/>
          <w:szCs w:val="24"/>
        </w:rPr>
        <w:t xml:space="preserve"> </w:t>
      </w:r>
    </w:p>
    <w:p w14:paraId="685CCB37" w14:textId="77777777" w:rsidR="00AA6C28" w:rsidRPr="000269E1" w:rsidRDefault="00AA6C28" w:rsidP="000269E1">
      <w:pPr>
        <w:spacing w:after="0"/>
        <w:ind w:firstLine="0"/>
        <w:rPr>
          <w:rFonts w:ascii="Lato" w:hAnsi="Lato"/>
          <w:szCs w:val="24"/>
        </w:rPr>
      </w:pPr>
    </w:p>
    <w:p w14:paraId="489A3326" w14:textId="7DFA904B" w:rsidR="004909EA" w:rsidRPr="000269E1" w:rsidRDefault="005E517D" w:rsidP="000269E1">
      <w:pPr>
        <w:spacing w:after="0"/>
        <w:ind w:firstLine="0"/>
        <w:rPr>
          <w:rFonts w:ascii="Lato" w:hAnsi="Lato"/>
          <w:szCs w:val="24"/>
        </w:rPr>
      </w:pPr>
      <w:r w:rsidRPr="000269E1">
        <w:rPr>
          <w:rFonts w:ascii="Lato" w:hAnsi="Lato"/>
          <w:szCs w:val="24"/>
        </w:rPr>
        <w:t>Zaproponowane przez Radę Polityki Pieniężnej podwyżki stóp procentowych</w:t>
      </w:r>
      <w:r w:rsidR="00762FFF" w:rsidRPr="000269E1">
        <w:rPr>
          <w:rFonts w:ascii="Lato" w:hAnsi="Lato"/>
          <w:szCs w:val="24"/>
        </w:rPr>
        <w:t>,</w:t>
      </w:r>
      <w:r w:rsidRPr="000269E1">
        <w:rPr>
          <w:rFonts w:ascii="Lato" w:hAnsi="Lato"/>
          <w:szCs w:val="24"/>
        </w:rPr>
        <w:t xml:space="preserve"> bezpośrednio</w:t>
      </w:r>
      <w:r w:rsidR="00762FFF" w:rsidRPr="000269E1">
        <w:rPr>
          <w:rFonts w:ascii="Lato" w:hAnsi="Lato"/>
          <w:szCs w:val="24"/>
        </w:rPr>
        <w:t xml:space="preserve"> przełożył</w:t>
      </w:r>
      <w:r w:rsidR="00895A85" w:rsidRPr="000269E1">
        <w:rPr>
          <w:rFonts w:ascii="Lato" w:hAnsi="Lato"/>
          <w:szCs w:val="24"/>
        </w:rPr>
        <w:t>y</w:t>
      </w:r>
      <w:r w:rsidR="00762FFF" w:rsidRPr="000269E1">
        <w:rPr>
          <w:rFonts w:ascii="Lato" w:hAnsi="Lato"/>
          <w:szCs w:val="24"/>
        </w:rPr>
        <w:t xml:space="preserve"> się na mniej korzystne warunki oceniania zdolności kredytowej klientów</w:t>
      </w:r>
      <w:r w:rsidR="007C02F9" w:rsidRPr="000269E1">
        <w:rPr>
          <w:rFonts w:ascii="Lato" w:hAnsi="Lato"/>
          <w:szCs w:val="24"/>
        </w:rPr>
        <w:t>. Kolejną rekomendacją</w:t>
      </w:r>
      <w:r w:rsidR="00895A85" w:rsidRPr="000269E1">
        <w:rPr>
          <w:rFonts w:ascii="Lato" w:hAnsi="Lato"/>
          <w:szCs w:val="24"/>
        </w:rPr>
        <w:t xml:space="preserve"> Rady</w:t>
      </w:r>
      <w:r w:rsidR="007C02F9" w:rsidRPr="000269E1">
        <w:rPr>
          <w:rFonts w:ascii="Lato" w:hAnsi="Lato"/>
          <w:szCs w:val="24"/>
        </w:rPr>
        <w:t xml:space="preserve">, która przyniesie diametralne zmiany dla </w:t>
      </w:r>
      <w:r w:rsidR="00E81AEE" w:rsidRPr="000269E1">
        <w:rPr>
          <w:rFonts w:ascii="Lato" w:hAnsi="Lato"/>
          <w:szCs w:val="24"/>
        </w:rPr>
        <w:t>osób chcących zaciągnąć kredyt</w:t>
      </w:r>
      <w:r w:rsidR="004909EA" w:rsidRPr="000269E1">
        <w:rPr>
          <w:rFonts w:ascii="Lato" w:hAnsi="Lato"/>
          <w:szCs w:val="24"/>
        </w:rPr>
        <w:t>,</w:t>
      </w:r>
      <w:r w:rsidR="00895A85" w:rsidRPr="000269E1">
        <w:rPr>
          <w:rFonts w:ascii="Lato" w:hAnsi="Lato"/>
          <w:szCs w:val="24"/>
        </w:rPr>
        <w:t xml:space="preserve"> będzie </w:t>
      </w:r>
      <w:r w:rsidR="00E62B3E" w:rsidRPr="000269E1">
        <w:rPr>
          <w:rFonts w:ascii="Lato" w:hAnsi="Lato"/>
          <w:szCs w:val="24"/>
        </w:rPr>
        <w:t>hipotetyczne doliczanie dodatkowych 5%</w:t>
      </w:r>
      <w:r w:rsidR="00E81AEE" w:rsidRPr="000269E1">
        <w:rPr>
          <w:rFonts w:ascii="Lato" w:hAnsi="Lato"/>
          <w:szCs w:val="24"/>
        </w:rPr>
        <w:t xml:space="preserve"> </w:t>
      </w:r>
      <w:r w:rsidR="003A5077" w:rsidRPr="000269E1">
        <w:rPr>
          <w:rFonts w:ascii="Lato" w:hAnsi="Lato"/>
          <w:szCs w:val="24"/>
        </w:rPr>
        <w:t>do rezerwy przy wyliczaniu zdolności kredytowej</w:t>
      </w:r>
      <w:r w:rsidR="00E62B3E" w:rsidRPr="000269E1">
        <w:rPr>
          <w:rFonts w:ascii="Lato" w:hAnsi="Lato"/>
          <w:szCs w:val="24"/>
        </w:rPr>
        <w:t xml:space="preserve">. </w:t>
      </w:r>
      <w:r w:rsidR="001D5CAC" w:rsidRPr="000269E1">
        <w:rPr>
          <w:rFonts w:ascii="Lato" w:hAnsi="Lato"/>
          <w:szCs w:val="24"/>
        </w:rPr>
        <w:t xml:space="preserve">Szacując, oznacza to, </w:t>
      </w:r>
      <w:r w:rsidR="00CB12B5" w:rsidRPr="000269E1">
        <w:rPr>
          <w:rFonts w:ascii="Lato" w:hAnsi="Lato"/>
          <w:szCs w:val="24"/>
        </w:rPr>
        <w:t>że</w:t>
      </w:r>
      <w:r w:rsidR="001D5CAC" w:rsidRPr="000269E1">
        <w:rPr>
          <w:rFonts w:ascii="Lato" w:hAnsi="Lato"/>
          <w:szCs w:val="24"/>
        </w:rPr>
        <w:t xml:space="preserve"> jeśli obecnie oprocentowanie </w:t>
      </w:r>
      <w:r w:rsidR="00404271" w:rsidRPr="000269E1">
        <w:rPr>
          <w:rFonts w:ascii="Lato" w:hAnsi="Lato"/>
          <w:szCs w:val="24"/>
        </w:rPr>
        <w:t>osiągnęło poziom</w:t>
      </w:r>
      <w:r w:rsidR="001D5CAC" w:rsidRPr="000269E1">
        <w:rPr>
          <w:rFonts w:ascii="Lato" w:hAnsi="Lato"/>
          <w:szCs w:val="24"/>
        </w:rPr>
        <w:t xml:space="preserve"> 6</w:t>
      </w:r>
      <w:r w:rsidR="00404271" w:rsidRPr="000269E1">
        <w:rPr>
          <w:rFonts w:ascii="Lato" w:hAnsi="Lato"/>
          <w:szCs w:val="24"/>
        </w:rPr>
        <w:t xml:space="preserve"> punktów procentowych</w:t>
      </w:r>
      <w:r w:rsidR="001D5CAC" w:rsidRPr="000269E1">
        <w:rPr>
          <w:rFonts w:ascii="Lato" w:hAnsi="Lato"/>
          <w:szCs w:val="24"/>
        </w:rPr>
        <w:t xml:space="preserve"> to od 1 kwietnia do wylicze</w:t>
      </w:r>
      <w:r w:rsidR="00AB3A31" w:rsidRPr="000269E1">
        <w:rPr>
          <w:rFonts w:ascii="Lato" w:hAnsi="Lato"/>
          <w:szCs w:val="24"/>
        </w:rPr>
        <w:t>ń</w:t>
      </w:r>
      <w:r w:rsidR="001D5CAC" w:rsidRPr="000269E1">
        <w:rPr>
          <w:rFonts w:ascii="Lato" w:hAnsi="Lato"/>
          <w:szCs w:val="24"/>
        </w:rPr>
        <w:t xml:space="preserve"> zdolności</w:t>
      </w:r>
      <w:r w:rsidR="004C1521" w:rsidRPr="000269E1">
        <w:rPr>
          <w:rFonts w:ascii="Lato" w:hAnsi="Lato"/>
          <w:szCs w:val="24"/>
        </w:rPr>
        <w:t xml:space="preserve"> kredytowej</w:t>
      </w:r>
      <w:r w:rsidR="001D5CAC" w:rsidRPr="000269E1">
        <w:rPr>
          <w:rFonts w:ascii="Lato" w:hAnsi="Lato"/>
          <w:szCs w:val="24"/>
        </w:rPr>
        <w:t xml:space="preserve"> banki będą</w:t>
      </w:r>
      <w:r w:rsidR="004C1521" w:rsidRPr="000269E1">
        <w:rPr>
          <w:rFonts w:ascii="Lato" w:hAnsi="Lato"/>
          <w:szCs w:val="24"/>
        </w:rPr>
        <w:t xml:space="preserve"> już</w:t>
      </w:r>
      <w:r w:rsidR="001D5CAC" w:rsidRPr="000269E1">
        <w:rPr>
          <w:rFonts w:ascii="Lato" w:hAnsi="Lato"/>
          <w:szCs w:val="24"/>
        </w:rPr>
        <w:t xml:space="preserve"> przyjmowały oprocentowanie na poziomie 11%</w:t>
      </w:r>
      <w:r w:rsidR="00B87FFC" w:rsidRPr="000269E1">
        <w:rPr>
          <w:rFonts w:ascii="Lato" w:hAnsi="Lato"/>
          <w:szCs w:val="24"/>
        </w:rPr>
        <w:t xml:space="preserve">. </w:t>
      </w:r>
      <w:r w:rsidR="004909EA" w:rsidRPr="000269E1">
        <w:rPr>
          <w:rFonts w:ascii="Lato" w:hAnsi="Lato"/>
          <w:szCs w:val="24"/>
        </w:rPr>
        <w:t xml:space="preserve">– </w:t>
      </w:r>
      <w:r w:rsidR="00B87FFC" w:rsidRPr="000269E1">
        <w:rPr>
          <w:rFonts w:ascii="Lato" w:hAnsi="Lato"/>
          <w:i/>
          <w:iCs/>
          <w:szCs w:val="24"/>
        </w:rPr>
        <w:t xml:space="preserve">Może się okazać, że za te kilka tygodni, zdolność kredytowa, którą </w:t>
      </w:r>
      <w:r w:rsidR="00B87FFC" w:rsidRPr="000269E1">
        <w:rPr>
          <w:rFonts w:ascii="Lato" w:hAnsi="Lato"/>
          <w:i/>
          <w:iCs/>
          <w:szCs w:val="24"/>
        </w:rPr>
        <w:lastRenderedPageBreak/>
        <w:t>teraz osiągamy</w:t>
      </w:r>
      <w:r w:rsidR="006421E4" w:rsidRPr="000269E1">
        <w:rPr>
          <w:rFonts w:ascii="Lato" w:hAnsi="Lato"/>
          <w:i/>
          <w:iCs/>
          <w:szCs w:val="24"/>
        </w:rPr>
        <w:t>,</w:t>
      </w:r>
      <w:r w:rsidR="00B87FFC" w:rsidRPr="000269E1">
        <w:rPr>
          <w:rFonts w:ascii="Lato" w:hAnsi="Lato"/>
          <w:i/>
          <w:iCs/>
          <w:szCs w:val="24"/>
        </w:rPr>
        <w:t xml:space="preserve"> nie będzie wystarczająca, ze względu na </w:t>
      </w:r>
      <w:r w:rsidR="006421E4" w:rsidRPr="000269E1">
        <w:rPr>
          <w:rFonts w:ascii="Lato" w:hAnsi="Lato"/>
          <w:i/>
          <w:iCs/>
          <w:szCs w:val="24"/>
        </w:rPr>
        <w:t xml:space="preserve">dodatkowo </w:t>
      </w:r>
      <w:r w:rsidR="00B87FFC" w:rsidRPr="000269E1">
        <w:rPr>
          <w:rFonts w:ascii="Lato" w:hAnsi="Lato"/>
          <w:i/>
          <w:iCs/>
          <w:szCs w:val="24"/>
        </w:rPr>
        <w:t xml:space="preserve">narzucone oprocentowanie, które będzie </w:t>
      </w:r>
      <w:r w:rsidR="004909EA" w:rsidRPr="000269E1">
        <w:rPr>
          <w:rFonts w:ascii="Lato" w:hAnsi="Lato"/>
          <w:i/>
          <w:iCs/>
          <w:szCs w:val="24"/>
        </w:rPr>
        <w:t>sporo</w:t>
      </w:r>
      <w:r w:rsidR="00B87FFC" w:rsidRPr="000269E1">
        <w:rPr>
          <w:rFonts w:ascii="Lato" w:hAnsi="Lato"/>
          <w:i/>
          <w:iCs/>
          <w:szCs w:val="24"/>
        </w:rPr>
        <w:t xml:space="preserve"> wyższe</w:t>
      </w:r>
      <w:r w:rsidR="00BC612C" w:rsidRPr="000269E1">
        <w:rPr>
          <w:rFonts w:ascii="Lato" w:hAnsi="Lato"/>
          <w:i/>
          <w:iCs/>
          <w:szCs w:val="24"/>
        </w:rPr>
        <w:t xml:space="preserve"> </w:t>
      </w:r>
      <w:r w:rsidR="00BC612C" w:rsidRPr="000269E1">
        <w:rPr>
          <w:rFonts w:ascii="Lato" w:hAnsi="Lato"/>
          <w:szCs w:val="24"/>
        </w:rPr>
        <w:t xml:space="preserve">– </w:t>
      </w:r>
      <w:r w:rsidR="004909EA" w:rsidRPr="000269E1">
        <w:rPr>
          <w:rFonts w:ascii="Lato" w:hAnsi="Lato"/>
          <w:szCs w:val="24"/>
        </w:rPr>
        <w:t>zauważa</w:t>
      </w:r>
      <w:r w:rsidR="00BC612C" w:rsidRPr="000269E1">
        <w:rPr>
          <w:rFonts w:ascii="Lato" w:hAnsi="Lato"/>
          <w:szCs w:val="24"/>
        </w:rPr>
        <w:t xml:space="preserve"> Anita Gru</w:t>
      </w:r>
      <w:r w:rsidR="000705D8" w:rsidRPr="000269E1">
        <w:rPr>
          <w:rFonts w:ascii="Lato" w:hAnsi="Lato"/>
          <w:szCs w:val="24"/>
        </w:rPr>
        <w:t>ca</w:t>
      </w:r>
      <w:r w:rsidR="004909EA" w:rsidRPr="000269E1">
        <w:rPr>
          <w:rFonts w:ascii="Lato" w:hAnsi="Lato"/>
          <w:szCs w:val="24"/>
        </w:rPr>
        <w:t>,</w:t>
      </w:r>
      <w:r w:rsidR="000705D8" w:rsidRPr="000269E1">
        <w:rPr>
          <w:rFonts w:ascii="Lato" w:hAnsi="Lato"/>
          <w:szCs w:val="24"/>
        </w:rPr>
        <w:t xml:space="preserve"> ekspert</w:t>
      </w:r>
      <w:r w:rsidR="00AB7DCA">
        <w:rPr>
          <w:rFonts w:ascii="Lato" w:hAnsi="Lato"/>
          <w:szCs w:val="24"/>
        </w:rPr>
        <w:t>ka</w:t>
      </w:r>
      <w:r w:rsidR="000705D8" w:rsidRPr="000269E1">
        <w:rPr>
          <w:rFonts w:ascii="Lato" w:hAnsi="Lato"/>
          <w:szCs w:val="24"/>
        </w:rPr>
        <w:t xml:space="preserve"> kredytow</w:t>
      </w:r>
      <w:r w:rsidR="00AB7DCA">
        <w:rPr>
          <w:rFonts w:ascii="Lato" w:hAnsi="Lato"/>
          <w:szCs w:val="24"/>
        </w:rPr>
        <w:t>a współpracująca z firmą Horyzont Inwestycji</w:t>
      </w:r>
      <w:r w:rsidR="000705D8" w:rsidRPr="000269E1">
        <w:rPr>
          <w:rFonts w:ascii="Lato" w:hAnsi="Lato"/>
          <w:szCs w:val="24"/>
        </w:rPr>
        <w:t>.</w:t>
      </w:r>
      <w:r w:rsidR="003E6456" w:rsidRPr="000269E1">
        <w:rPr>
          <w:rFonts w:ascii="Lato" w:hAnsi="Lato"/>
          <w:szCs w:val="24"/>
        </w:rPr>
        <w:t xml:space="preserve"> </w:t>
      </w:r>
      <w:r w:rsidR="004909EA" w:rsidRPr="000269E1">
        <w:rPr>
          <w:rFonts w:ascii="Lato" w:hAnsi="Lato"/>
          <w:szCs w:val="24"/>
        </w:rPr>
        <w:t xml:space="preserve">Ci, którzy planują wzięcie kredytu, powinni się więc pospieszyć. </w:t>
      </w:r>
    </w:p>
    <w:p w14:paraId="7FCE1059" w14:textId="77777777" w:rsidR="00AA6C28" w:rsidRPr="000269E1" w:rsidRDefault="00AA6C28" w:rsidP="000269E1">
      <w:pPr>
        <w:spacing w:after="0"/>
        <w:ind w:firstLine="0"/>
        <w:rPr>
          <w:rFonts w:ascii="Lato" w:hAnsi="Lato"/>
          <w:szCs w:val="24"/>
        </w:rPr>
      </w:pPr>
    </w:p>
    <w:p w14:paraId="23284335" w14:textId="764899A5" w:rsidR="00730D2D" w:rsidRPr="00AB7DCA" w:rsidRDefault="00562A95" w:rsidP="000269E1">
      <w:pPr>
        <w:spacing w:after="0"/>
        <w:ind w:firstLine="0"/>
        <w:rPr>
          <w:rFonts w:ascii="Lato" w:hAnsi="Lato"/>
          <w:szCs w:val="24"/>
        </w:rPr>
      </w:pPr>
      <w:r w:rsidRPr="000269E1">
        <w:rPr>
          <w:rFonts w:ascii="Lato" w:hAnsi="Lato"/>
          <w:szCs w:val="24"/>
        </w:rPr>
        <w:t xml:space="preserve">Więcej informacji o nadchodzących zmianach </w:t>
      </w:r>
      <w:r w:rsidR="006B0B5D" w:rsidRPr="000269E1">
        <w:rPr>
          <w:rFonts w:ascii="Lato" w:hAnsi="Lato"/>
          <w:szCs w:val="24"/>
        </w:rPr>
        <w:t xml:space="preserve">w najnowszym odcinku </w:t>
      </w:r>
      <w:r w:rsidR="00AA6C28" w:rsidRPr="000269E1">
        <w:rPr>
          <w:rFonts w:ascii="Lato" w:hAnsi="Lato"/>
          <w:szCs w:val="24"/>
        </w:rPr>
        <w:t xml:space="preserve">nagrań </w:t>
      </w:r>
      <w:r w:rsidR="006B0B5D" w:rsidRPr="000269E1">
        <w:rPr>
          <w:rFonts w:ascii="Lato" w:hAnsi="Lato"/>
          <w:szCs w:val="24"/>
        </w:rPr>
        <w:t xml:space="preserve">z serii „Poza Horyzontem” na kanale YouTube </w:t>
      </w:r>
      <w:r w:rsidR="00F85F5A" w:rsidRPr="000269E1">
        <w:rPr>
          <w:rFonts w:ascii="Lato" w:hAnsi="Lato"/>
          <w:szCs w:val="24"/>
        </w:rPr>
        <w:t xml:space="preserve">– Horyzont Inwestycji: </w:t>
      </w:r>
      <w:hyperlink r:id="rId6" w:history="1">
        <w:r w:rsidR="00AA6C28" w:rsidRPr="000269E1">
          <w:rPr>
            <w:rStyle w:val="Hipercze"/>
            <w:rFonts w:ascii="Lato" w:hAnsi="Lato"/>
            <w:szCs w:val="24"/>
          </w:rPr>
          <w:t>https://www.youtube.com/watch?v=mcTF2SxAeyU</w:t>
        </w:r>
      </w:hyperlink>
    </w:p>
    <w:sectPr w:rsidR="00730D2D" w:rsidRPr="00AB7DCA" w:rsidSect="000269E1">
      <w:headerReference w:type="default" r:id="rId7"/>
      <w:pgSz w:w="11906" w:h="16838"/>
      <w:pgMar w:top="1417" w:right="1558" w:bottom="1701" w:left="425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5763" w14:textId="77777777" w:rsidR="005A4837" w:rsidRDefault="005A4837" w:rsidP="007469CF">
      <w:pPr>
        <w:spacing w:after="0" w:line="240" w:lineRule="auto"/>
      </w:pPr>
      <w:r>
        <w:separator/>
      </w:r>
    </w:p>
  </w:endnote>
  <w:endnote w:type="continuationSeparator" w:id="0">
    <w:p w14:paraId="27DB7991" w14:textId="77777777" w:rsidR="005A4837" w:rsidRDefault="005A4837" w:rsidP="0074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17A2" w14:textId="77777777" w:rsidR="005A4837" w:rsidRDefault="005A4837" w:rsidP="007469CF">
      <w:pPr>
        <w:spacing w:after="0" w:line="240" w:lineRule="auto"/>
      </w:pPr>
      <w:r>
        <w:separator/>
      </w:r>
    </w:p>
  </w:footnote>
  <w:footnote w:type="continuationSeparator" w:id="0">
    <w:p w14:paraId="3A534106" w14:textId="77777777" w:rsidR="005A4837" w:rsidRDefault="005A4837" w:rsidP="0074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83F1" w14:textId="77777777" w:rsidR="007469CF" w:rsidRDefault="007469CF" w:rsidP="007469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24FBF0" wp14:editId="30E1E2A8">
          <wp:simplePos x="0" y="0"/>
          <wp:positionH relativeFrom="column">
            <wp:posOffset>3848100</wp:posOffset>
          </wp:positionH>
          <wp:positionV relativeFrom="paragraph">
            <wp:posOffset>-38100</wp:posOffset>
          </wp:positionV>
          <wp:extent cx="2018030" cy="792480"/>
          <wp:effectExtent l="0" t="0" r="1270" b="7620"/>
          <wp:wrapTight wrapText="bothSides">
            <wp:wrapPolygon edited="0">
              <wp:start x="0" y="0"/>
              <wp:lineTo x="0" y="21288"/>
              <wp:lineTo x="21410" y="21288"/>
              <wp:lineTo x="21410" y="0"/>
              <wp:lineTo x="0" y="0"/>
            </wp:wrapPolygon>
          </wp:wrapTight>
          <wp:docPr id="10" name="Obraz 10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A602ADA-F07B-4060-9C33-F8EF9308B5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8A602ADA-F07B-4060-9C33-F8EF9308B5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D8F9E5A" w14:textId="77777777" w:rsidR="007469CF" w:rsidRDefault="007469CF" w:rsidP="007469CF">
    <w:pPr>
      <w:pStyle w:val="Nagwek"/>
    </w:pPr>
  </w:p>
  <w:p w14:paraId="49BAA874" w14:textId="77777777" w:rsidR="007469CF" w:rsidRDefault="007469CF" w:rsidP="007469CF">
    <w:pPr>
      <w:pStyle w:val="Nagwek"/>
    </w:pPr>
  </w:p>
  <w:p w14:paraId="18DD481A" w14:textId="77777777" w:rsidR="007469CF" w:rsidRDefault="007469CF" w:rsidP="007469CF">
    <w:pPr>
      <w:pStyle w:val="Nagwek"/>
      <w:ind w:firstLine="0"/>
    </w:pPr>
    <w:r>
      <w:t>INFORMACJA PRASOWA</w:t>
    </w:r>
  </w:p>
  <w:p w14:paraId="7C23DEBD" w14:textId="77777777" w:rsidR="007469CF" w:rsidRDefault="007469CF" w:rsidP="007469CF">
    <w:pPr>
      <w:pStyle w:val="Nagwek"/>
    </w:pPr>
  </w:p>
  <w:p w14:paraId="72620092" w14:textId="77777777" w:rsidR="007469CF" w:rsidRDefault="007469CF" w:rsidP="007469CF">
    <w:pPr>
      <w:pStyle w:val="Nagwek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FB"/>
    <w:rsid w:val="00007FE0"/>
    <w:rsid w:val="000221CE"/>
    <w:rsid w:val="00024418"/>
    <w:rsid w:val="000269E1"/>
    <w:rsid w:val="00037457"/>
    <w:rsid w:val="00047F54"/>
    <w:rsid w:val="000549A4"/>
    <w:rsid w:val="000549B7"/>
    <w:rsid w:val="00067CD9"/>
    <w:rsid w:val="000705D8"/>
    <w:rsid w:val="00075ED1"/>
    <w:rsid w:val="000A59E0"/>
    <w:rsid w:val="000B1251"/>
    <w:rsid w:val="000B4CF8"/>
    <w:rsid w:val="000C08CC"/>
    <w:rsid w:val="000C3639"/>
    <w:rsid w:val="000F367C"/>
    <w:rsid w:val="001162B5"/>
    <w:rsid w:val="0012677C"/>
    <w:rsid w:val="001346D9"/>
    <w:rsid w:val="00141383"/>
    <w:rsid w:val="001429AD"/>
    <w:rsid w:val="00143619"/>
    <w:rsid w:val="00143D00"/>
    <w:rsid w:val="001646EB"/>
    <w:rsid w:val="00175325"/>
    <w:rsid w:val="0019762F"/>
    <w:rsid w:val="001A52A8"/>
    <w:rsid w:val="001B11DD"/>
    <w:rsid w:val="001B1E46"/>
    <w:rsid w:val="001D5CAC"/>
    <w:rsid w:val="001E284B"/>
    <w:rsid w:val="001F1335"/>
    <w:rsid w:val="001F168E"/>
    <w:rsid w:val="001F72C3"/>
    <w:rsid w:val="00217AA8"/>
    <w:rsid w:val="00225CE4"/>
    <w:rsid w:val="00240781"/>
    <w:rsid w:val="0028475D"/>
    <w:rsid w:val="0029436A"/>
    <w:rsid w:val="002A5261"/>
    <w:rsid w:val="002A768A"/>
    <w:rsid w:val="002B662D"/>
    <w:rsid w:val="002C3016"/>
    <w:rsid w:val="002C43D9"/>
    <w:rsid w:val="002E1E5C"/>
    <w:rsid w:val="00324703"/>
    <w:rsid w:val="00332B9E"/>
    <w:rsid w:val="00344DED"/>
    <w:rsid w:val="003511EF"/>
    <w:rsid w:val="003545D4"/>
    <w:rsid w:val="003566DA"/>
    <w:rsid w:val="003A1BC2"/>
    <w:rsid w:val="003A5077"/>
    <w:rsid w:val="003D0595"/>
    <w:rsid w:val="003E5D36"/>
    <w:rsid w:val="003E6456"/>
    <w:rsid w:val="003F1595"/>
    <w:rsid w:val="003F3F15"/>
    <w:rsid w:val="003F67E9"/>
    <w:rsid w:val="00400A69"/>
    <w:rsid w:val="0040150E"/>
    <w:rsid w:val="00404271"/>
    <w:rsid w:val="0044550B"/>
    <w:rsid w:val="00456A1F"/>
    <w:rsid w:val="004909EA"/>
    <w:rsid w:val="00497EDD"/>
    <w:rsid w:val="004A53AF"/>
    <w:rsid w:val="004B4ACF"/>
    <w:rsid w:val="004C03FF"/>
    <w:rsid w:val="004C1521"/>
    <w:rsid w:val="004C3D6E"/>
    <w:rsid w:val="004E088A"/>
    <w:rsid w:val="005226B3"/>
    <w:rsid w:val="00543018"/>
    <w:rsid w:val="00562A95"/>
    <w:rsid w:val="00580C82"/>
    <w:rsid w:val="00586769"/>
    <w:rsid w:val="005A0303"/>
    <w:rsid w:val="005A178F"/>
    <w:rsid w:val="005A3468"/>
    <w:rsid w:val="005A4837"/>
    <w:rsid w:val="005C69CD"/>
    <w:rsid w:val="005D3624"/>
    <w:rsid w:val="005E517D"/>
    <w:rsid w:val="005F67E0"/>
    <w:rsid w:val="005F7B3C"/>
    <w:rsid w:val="00621D4B"/>
    <w:rsid w:val="006232BA"/>
    <w:rsid w:val="00630F03"/>
    <w:rsid w:val="00631A6B"/>
    <w:rsid w:val="006421E4"/>
    <w:rsid w:val="00642D88"/>
    <w:rsid w:val="00682BCD"/>
    <w:rsid w:val="00682CFF"/>
    <w:rsid w:val="006B0B5D"/>
    <w:rsid w:val="006B66AC"/>
    <w:rsid w:val="006C0567"/>
    <w:rsid w:val="006C6B57"/>
    <w:rsid w:val="006D69FD"/>
    <w:rsid w:val="006E0382"/>
    <w:rsid w:val="006E188B"/>
    <w:rsid w:val="006E2C15"/>
    <w:rsid w:val="00723F47"/>
    <w:rsid w:val="00730D2D"/>
    <w:rsid w:val="007469CF"/>
    <w:rsid w:val="00762FFF"/>
    <w:rsid w:val="007C02F9"/>
    <w:rsid w:val="007D5358"/>
    <w:rsid w:val="007F1CCD"/>
    <w:rsid w:val="007F2D04"/>
    <w:rsid w:val="007F5F82"/>
    <w:rsid w:val="0080537C"/>
    <w:rsid w:val="00810D6A"/>
    <w:rsid w:val="008247B0"/>
    <w:rsid w:val="00825E93"/>
    <w:rsid w:val="00836717"/>
    <w:rsid w:val="00847D8A"/>
    <w:rsid w:val="0085551A"/>
    <w:rsid w:val="0087603D"/>
    <w:rsid w:val="008863E7"/>
    <w:rsid w:val="00894DDA"/>
    <w:rsid w:val="00895A85"/>
    <w:rsid w:val="008B0670"/>
    <w:rsid w:val="008C1AED"/>
    <w:rsid w:val="008D3D79"/>
    <w:rsid w:val="008D47B0"/>
    <w:rsid w:val="008F208D"/>
    <w:rsid w:val="008F3FFC"/>
    <w:rsid w:val="009071AA"/>
    <w:rsid w:val="00925C83"/>
    <w:rsid w:val="00941DC2"/>
    <w:rsid w:val="00974120"/>
    <w:rsid w:val="00976C41"/>
    <w:rsid w:val="00992C62"/>
    <w:rsid w:val="009B1BA9"/>
    <w:rsid w:val="009C0407"/>
    <w:rsid w:val="009C38BB"/>
    <w:rsid w:val="009E14D2"/>
    <w:rsid w:val="009E32CF"/>
    <w:rsid w:val="009E5C47"/>
    <w:rsid w:val="00A02C01"/>
    <w:rsid w:val="00A23FCF"/>
    <w:rsid w:val="00A267C4"/>
    <w:rsid w:val="00A655FA"/>
    <w:rsid w:val="00A70E37"/>
    <w:rsid w:val="00A718FB"/>
    <w:rsid w:val="00A73366"/>
    <w:rsid w:val="00AA6C28"/>
    <w:rsid w:val="00AA7375"/>
    <w:rsid w:val="00AB3A31"/>
    <w:rsid w:val="00AB71E5"/>
    <w:rsid w:val="00AB7DCA"/>
    <w:rsid w:val="00AD6581"/>
    <w:rsid w:val="00AE408B"/>
    <w:rsid w:val="00AE4867"/>
    <w:rsid w:val="00B06DA6"/>
    <w:rsid w:val="00B11845"/>
    <w:rsid w:val="00B205F0"/>
    <w:rsid w:val="00B32F88"/>
    <w:rsid w:val="00B7643E"/>
    <w:rsid w:val="00B870BA"/>
    <w:rsid w:val="00B87FFC"/>
    <w:rsid w:val="00B94AF8"/>
    <w:rsid w:val="00BC612C"/>
    <w:rsid w:val="00BD1D7D"/>
    <w:rsid w:val="00BE2065"/>
    <w:rsid w:val="00C2296E"/>
    <w:rsid w:val="00C325D2"/>
    <w:rsid w:val="00C85D04"/>
    <w:rsid w:val="00C9381B"/>
    <w:rsid w:val="00C95743"/>
    <w:rsid w:val="00CA38EF"/>
    <w:rsid w:val="00CA3EF0"/>
    <w:rsid w:val="00CB12B5"/>
    <w:rsid w:val="00CC2674"/>
    <w:rsid w:val="00CF148C"/>
    <w:rsid w:val="00D0501A"/>
    <w:rsid w:val="00D465A5"/>
    <w:rsid w:val="00D50671"/>
    <w:rsid w:val="00D567B3"/>
    <w:rsid w:val="00D72293"/>
    <w:rsid w:val="00D84909"/>
    <w:rsid w:val="00D9155E"/>
    <w:rsid w:val="00D92BAE"/>
    <w:rsid w:val="00DA6D28"/>
    <w:rsid w:val="00DB0263"/>
    <w:rsid w:val="00DB6177"/>
    <w:rsid w:val="00DC2BFD"/>
    <w:rsid w:val="00DD0BB1"/>
    <w:rsid w:val="00DF5ABC"/>
    <w:rsid w:val="00DF5F27"/>
    <w:rsid w:val="00E314EC"/>
    <w:rsid w:val="00E515FB"/>
    <w:rsid w:val="00E62B3E"/>
    <w:rsid w:val="00E81AEE"/>
    <w:rsid w:val="00E91D39"/>
    <w:rsid w:val="00E94417"/>
    <w:rsid w:val="00EC42F0"/>
    <w:rsid w:val="00ED2145"/>
    <w:rsid w:val="00ED4296"/>
    <w:rsid w:val="00EE5D8E"/>
    <w:rsid w:val="00EF1DCE"/>
    <w:rsid w:val="00EF7F79"/>
    <w:rsid w:val="00F159B9"/>
    <w:rsid w:val="00F23B90"/>
    <w:rsid w:val="00F24468"/>
    <w:rsid w:val="00F85F5A"/>
    <w:rsid w:val="00FB0B54"/>
    <w:rsid w:val="00FB64EA"/>
    <w:rsid w:val="00FC24EC"/>
    <w:rsid w:val="00FD3731"/>
    <w:rsid w:val="00FD5BEC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8022"/>
  <w15:chartTrackingRefBased/>
  <w15:docId w15:val="{293E90B2-0303-4AA6-81DD-40EE4467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769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F72C3"/>
    <w:pPr>
      <w:keepNext/>
      <w:spacing w:before="240" w:after="60"/>
      <w:ind w:firstLine="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2C3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6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0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F72C3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72C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436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36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AA6C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C2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269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269E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4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9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4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9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cTF2SxAey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Preś</dc:creator>
  <cp:keywords/>
  <dc:description/>
  <cp:lastModifiedBy>Małgorzata Knapik</cp:lastModifiedBy>
  <cp:revision>5</cp:revision>
  <dcterms:created xsi:type="dcterms:W3CDTF">2022-03-18T06:43:00Z</dcterms:created>
  <dcterms:modified xsi:type="dcterms:W3CDTF">2022-03-18T15:47:00Z</dcterms:modified>
</cp:coreProperties>
</file>