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Program Horyzont Europa, czyli jak skutecznie aplikowa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 xml:space="preserve">dotacje unijne? </w:t>
      </w:r>
    </w:p>
    <w:p>
      <w:pPr>
        <w:pStyle w:val="Normal.0"/>
        <w:suppressAutoHyphens w:val="1"/>
        <w:spacing w:after="0" w:line="240" w:lineRule="auto"/>
        <w:jc w:val="both"/>
      </w:pP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Jak rozpocz</w:t>
      </w:r>
      <w:r>
        <w:rPr>
          <w:b w:val="1"/>
          <w:bCs w:val="1"/>
          <w:rtl w:val="0"/>
        </w:rPr>
        <w:t xml:space="preserve">ąć </w:t>
      </w:r>
      <w:r>
        <w:rPr>
          <w:b w:val="1"/>
          <w:bCs w:val="1"/>
          <w:rtl w:val="0"/>
        </w:rPr>
        <w:t>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prac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 partnerami zagranicznymi i przeku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nasz pomys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na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anie o skali 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dzynarodowej? Czy istniej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rozwi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zania pozwalaj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na rozszerzenie obszaru 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pracy poza granice Polski? Je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li tak, to w jaki 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to zrealizowa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? Na te i inne pytania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odpowiada Ramowy Program Horyzont Europa, nast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pca Programu Horyzont 2020. Oczekuj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 na wdro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enie perspektywy finansowej na lata 2021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2027 w ramach konkurs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krajowych, warto przyjrze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ofercie przedstawionej przez instytucje europejskie, odpowiadaj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cej potrzebom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z sektora M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it-IT"/>
        </w:rPr>
        <w:t>P i du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ych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biorstw.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Podj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cie si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wyzwania uczestnictwa w programie Horyzont Europa jest dzia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aniem ambitnym wymagaj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cym kompleksowego przygotowania, od zbudowania konsorcjum o wysokim potencjale badawczym, poprzez sprawdzenie innowacyjno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 projektowanego rozwi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zania, po przygotowanie wniosku spe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niaj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cego kryteria oceny. </w:t>
      </w: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–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Konkursy w programie Horyzont Europa 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szans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dla przedsi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biorstw na otrzymanie dofinansowania na realizacj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prze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omowych, innowacyjnych projekt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w, z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rymi 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si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du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ryzyko badawcze. Interdyscyplinarne projekty realizowane w gronie mi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dzynarodowych lider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innowacji umo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liwiaj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zdobycie unikalnego know-how zwi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kszaj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potencja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rozwojowy przedsi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biorstwa</w:t>
      </w:r>
      <w:r>
        <w:rPr>
          <w:rFonts w:ascii="Calibri" w:hAnsi="Calibri" w:hint="default"/>
          <w:sz w:val="22"/>
          <w:szCs w:val="22"/>
          <w:rtl w:val="0"/>
        </w:rPr>
        <w:t xml:space="preserve"> –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zauwa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a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Laura Kloch Starszy konsultant ds. projekt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w UE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 Centrum Bada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 Rozwoju Technologii dla Przemys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 S.A. (dalej CBRTP).</w:t>
      </w: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Indywidualnie czy w konsorcjum?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  <w:r>
        <w:rPr>
          <w:rtl w:val="0"/>
        </w:rPr>
        <w:t>Przed przyst</w:t>
      </w:r>
      <w:r>
        <w:rPr>
          <w:rtl w:val="0"/>
        </w:rPr>
        <w:t>ą</w:t>
      </w:r>
      <w:r>
        <w:rPr>
          <w:rtl w:val="0"/>
        </w:rPr>
        <w:t>pieniem do poszukiwania konkurs</w:t>
      </w:r>
      <w:r>
        <w:rPr>
          <w:rtl w:val="0"/>
          <w:lang w:val="es-ES_tradnl"/>
        </w:rPr>
        <w:t>ó</w:t>
      </w:r>
      <w:r>
        <w:rPr>
          <w:rtl w:val="0"/>
        </w:rPr>
        <w:t>w i wype</w:t>
      </w:r>
      <w:r>
        <w:rPr>
          <w:rtl w:val="0"/>
        </w:rPr>
        <w:t>ł</w:t>
      </w:r>
      <w:r>
        <w:rPr>
          <w:rtl w:val="0"/>
        </w:rPr>
        <w:t>niania dokument</w:t>
      </w:r>
      <w:r>
        <w:rPr>
          <w:rtl w:val="0"/>
          <w:lang w:val="es-ES_tradnl"/>
        </w:rPr>
        <w:t>ó</w:t>
      </w:r>
      <w:r>
        <w:rPr>
          <w:rtl w:val="0"/>
        </w:rPr>
        <w:t>w nale</w:t>
      </w:r>
      <w:r>
        <w:rPr>
          <w:rtl w:val="0"/>
        </w:rPr>
        <w:t>ż</w:t>
      </w:r>
      <w:r>
        <w:rPr>
          <w:rtl w:val="0"/>
        </w:rPr>
        <w:t>y odpowiedzie</w:t>
      </w:r>
      <w:r>
        <w:rPr>
          <w:rtl w:val="0"/>
        </w:rPr>
        <w:t xml:space="preserve">ć </w:t>
      </w:r>
      <w:r>
        <w:rPr>
          <w:rtl w:val="0"/>
        </w:rPr>
        <w:t>na pytanie czy projekt b</w:t>
      </w:r>
      <w:r>
        <w:rPr>
          <w:rtl w:val="0"/>
        </w:rPr>
        <w:t>ę</w:t>
      </w:r>
      <w:r>
        <w:rPr>
          <w:rtl w:val="0"/>
        </w:rPr>
        <w:t>dzie realizowany samodzielnie czy w konsorcjum. W Programie Horyzont Europa zdecydowana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projekt</w:t>
      </w:r>
      <w:r>
        <w:rPr>
          <w:rtl w:val="0"/>
          <w:lang w:val="es-ES_tradnl"/>
        </w:rPr>
        <w:t>ó</w:t>
      </w:r>
      <w:r>
        <w:rPr>
          <w:rtl w:val="0"/>
        </w:rPr>
        <w:t>w realizowana jest w konsorcjach mi</w:t>
      </w:r>
      <w:r>
        <w:rPr>
          <w:rtl w:val="0"/>
        </w:rPr>
        <w:t>ę</w:t>
      </w:r>
      <w:r>
        <w:rPr>
          <w:rtl w:val="0"/>
        </w:rPr>
        <w:t>dzynarodowych, a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kryteri</w:t>
      </w:r>
      <w:r>
        <w:rPr>
          <w:rtl w:val="0"/>
          <w:lang w:val="es-ES_tradnl"/>
        </w:rPr>
        <w:t>ó</w:t>
      </w:r>
      <w:r>
        <w:rPr>
          <w:rtl w:val="0"/>
        </w:rPr>
        <w:t>w konkursowych dominuj</w:t>
      </w:r>
      <w:r>
        <w:rPr>
          <w:rtl w:val="0"/>
        </w:rPr>
        <w:t xml:space="preserve">ą </w:t>
      </w:r>
      <w:r>
        <w:rPr>
          <w:rtl w:val="0"/>
        </w:rPr>
        <w:t>zakresy obejmuj</w:t>
      </w:r>
      <w:r>
        <w:rPr>
          <w:rtl w:val="0"/>
        </w:rPr>
        <w:t>ą</w:t>
      </w:r>
      <w:r>
        <w:rPr>
          <w:rtl w:val="0"/>
        </w:rPr>
        <w:t>ce udoskonalenie lub tworzenie nowej technologii, produktu czy us</w:t>
      </w:r>
      <w:r>
        <w:rPr>
          <w:rtl w:val="0"/>
        </w:rPr>
        <w:t>ł</w:t>
      </w:r>
      <w:r>
        <w:rPr>
          <w:rtl w:val="0"/>
        </w:rPr>
        <w:t>ugi, przy wykorzystaniu wiedzy partner</w:t>
      </w:r>
      <w:r>
        <w:rPr>
          <w:rtl w:val="0"/>
          <w:lang w:val="es-ES_tradnl"/>
        </w:rPr>
        <w:t>ó</w:t>
      </w: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 xml:space="preserve">na konsorcjum projektowe. 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  <w:r>
        <w:rPr>
          <w:rtl w:val="0"/>
        </w:rPr>
        <w:t>Przewa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ca ilo</w:t>
      </w:r>
      <w:r>
        <w:rPr>
          <w:rtl w:val="0"/>
        </w:rPr>
        <w:t xml:space="preserve">ść </w:t>
      </w:r>
      <w:r>
        <w:rPr>
          <w:rtl w:val="0"/>
        </w:rPr>
        <w:t>wymog</w:t>
      </w:r>
      <w:r>
        <w:rPr>
          <w:rtl w:val="0"/>
          <w:lang w:val="es-ES_tradnl"/>
        </w:rPr>
        <w:t>ó</w:t>
      </w:r>
      <w:r>
        <w:rPr>
          <w:rtl w:val="0"/>
        </w:rPr>
        <w:t>w konkursowych determinuje, aby struktura konsorcjum mi</w:t>
      </w:r>
      <w:r>
        <w:rPr>
          <w:rtl w:val="0"/>
        </w:rPr>
        <w:t>ę</w:t>
      </w:r>
      <w:r>
        <w:rPr>
          <w:rtl w:val="0"/>
        </w:rPr>
        <w:t>dzynarodowego, sk</w:t>
      </w:r>
      <w:r>
        <w:rPr>
          <w:rtl w:val="0"/>
        </w:rPr>
        <w:t>ł</w:t>
      </w:r>
      <w:r>
        <w:rPr>
          <w:rtl w:val="0"/>
          <w:lang w:val="es-ES_tradnl"/>
        </w:rPr>
        <w:t>ada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z min. 3 podmiot</w:t>
      </w:r>
      <w:r>
        <w:rPr>
          <w:rtl w:val="0"/>
          <w:lang w:val="es-ES_tradnl"/>
        </w:rPr>
        <w:t>ó</w:t>
      </w:r>
      <w:r>
        <w:rPr>
          <w:rtl w:val="0"/>
        </w:rPr>
        <w:t>w, przy czym ka</w:t>
      </w:r>
      <w:r>
        <w:rPr>
          <w:rtl w:val="0"/>
        </w:rPr>
        <w:t>ż</w:t>
      </w:r>
      <w:r>
        <w:rPr>
          <w:rtl w:val="0"/>
        </w:rPr>
        <w:t>dy z nich musi pochodzi</w:t>
      </w:r>
      <w:r>
        <w:rPr>
          <w:rtl w:val="0"/>
        </w:rPr>
        <w:t xml:space="preserve">ć </w:t>
      </w:r>
      <w:r>
        <w:rPr>
          <w:rtl w:val="0"/>
        </w:rPr>
        <w:t>z innego kraju europejskiego lub stowarzyszonego w Programie Horyzont Europa (posiadaj</w:t>
      </w:r>
      <w:r>
        <w:rPr>
          <w:rtl w:val="0"/>
        </w:rPr>
        <w:t>ą</w:t>
      </w:r>
      <w:r>
        <w:rPr>
          <w:rtl w:val="0"/>
        </w:rPr>
        <w:t>cego podpisan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 xml:space="preserve">ę </w:t>
      </w:r>
      <w:r>
        <w:rPr>
          <w:rtl w:val="0"/>
        </w:rPr>
        <w:t>o wsp</w:t>
      </w:r>
      <w:r>
        <w:rPr>
          <w:rtl w:val="0"/>
        </w:rPr>
        <w:t>ół</w:t>
      </w:r>
      <w:r>
        <w:rPr>
          <w:rtl w:val="0"/>
        </w:rPr>
        <w:t>pracy w programie) oraz kraj</w:t>
      </w:r>
      <w:r>
        <w:rPr>
          <w:rtl w:val="0"/>
          <w:lang w:val="es-ES_tradnl"/>
        </w:rPr>
        <w:t>ó</w:t>
      </w:r>
      <w:r>
        <w:rPr>
          <w:rtl w:val="0"/>
        </w:rPr>
        <w:t>w trzecich. Co wymaga podkre</w:t>
      </w:r>
      <w:r>
        <w:rPr>
          <w:rtl w:val="0"/>
        </w:rPr>
        <w:t>ś</w:t>
      </w:r>
      <w:r>
        <w:rPr>
          <w:rtl w:val="0"/>
        </w:rPr>
        <w:t>lenia, w Programie przewidziano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 definicj</w:t>
      </w:r>
      <w:r>
        <w:rPr>
          <w:rtl w:val="0"/>
        </w:rPr>
        <w:t xml:space="preserve">ę </w:t>
      </w:r>
      <w:r>
        <w:rPr>
          <w:rtl w:val="0"/>
        </w:rPr>
        <w:t>grant</w:t>
      </w:r>
      <w:r>
        <w:rPr>
          <w:rtl w:val="0"/>
          <w:lang w:val="es-ES_tradnl"/>
        </w:rPr>
        <w:t>ó</w:t>
      </w:r>
      <w:r>
        <w:rPr>
          <w:rtl w:val="0"/>
        </w:rPr>
        <w:t>w na wsparcie naukowc</w:t>
      </w:r>
      <w:r>
        <w:rPr>
          <w:rtl w:val="0"/>
          <w:lang w:val="es-ES_tradnl"/>
        </w:rPr>
        <w:t>ó</w:t>
      </w:r>
      <w:r>
        <w:rPr>
          <w:rtl w:val="0"/>
        </w:rPr>
        <w:t>w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na r</w:t>
      </w:r>
      <w:r>
        <w:rPr>
          <w:rtl w:val="0"/>
        </w:rPr>
        <w:t>óż</w:t>
      </w:r>
      <w:r>
        <w:rPr>
          <w:rtl w:val="0"/>
        </w:rPr>
        <w:t>nych etapach kariery naukowej, tj.  granty</w:t>
      </w:r>
      <w:r>
        <w:rPr>
          <w:rtl w:val="0"/>
        </w:rPr>
        <w:t> </w:t>
      </w:r>
      <w:r>
        <w:rPr>
          <w:i w:val="1"/>
          <w:iCs w:val="1"/>
          <w:rtl w:val="0"/>
        </w:rPr>
        <w:t>Europejskiej Rady ds. Bada</w:t>
      </w:r>
      <w:r>
        <w:rPr>
          <w:i w:val="1"/>
          <w:iCs w:val="1"/>
          <w:rtl w:val="0"/>
        </w:rPr>
        <w:t>ń</w:t>
      </w:r>
      <w:r>
        <w:rPr>
          <w:rtl w:val="0"/>
        </w:rPr>
        <w:t xml:space="preserve"> i</w:t>
      </w:r>
      <w:r>
        <w:rPr>
          <w:rtl w:val="0"/>
        </w:rPr>
        <w:t> </w:t>
      </w:r>
      <w:r>
        <w:rPr>
          <w:i w:val="1"/>
          <w:iCs w:val="1"/>
          <w:rtl w:val="0"/>
        </w:rPr>
        <w:t>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ania Marii Sk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odowskiej-Curie</w:t>
      </w:r>
      <w:r>
        <w:rPr>
          <w:rtl w:val="0"/>
        </w:rPr>
        <w:t>, dzi</w:t>
      </w:r>
      <w:r>
        <w:rPr>
          <w:rtl w:val="0"/>
        </w:rPr>
        <w:t>ę</w:t>
      </w:r>
      <w:r>
        <w:rPr>
          <w:rtl w:val="0"/>
        </w:rPr>
        <w:t>ki kt</w:t>
      </w:r>
      <w:r>
        <w:rPr>
          <w:rtl w:val="0"/>
          <w:lang w:val="es-ES_tradnl"/>
        </w:rPr>
        <w:t>ó</w:t>
      </w:r>
      <w:r>
        <w:rPr>
          <w:rtl w:val="0"/>
        </w:rPr>
        <w:t>rym m</w:t>
      </w:r>
      <w:r>
        <w:rPr>
          <w:rtl w:val="0"/>
        </w:rPr>
        <w:t>ł</w:t>
      </w:r>
      <w:r>
        <w:rPr>
          <w:rtl w:val="0"/>
        </w:rPr>
        <w:t>odzi i zdolni pasjonaci nauki mog</w:t>
      </w:r>
      <w:r>
        <w:rPr>
          <w:rtl w:val="0"/>
        </w:rPr>
        <w:t xml:space="preserve">ą </w:t>
      </w:r>
      <w:r>
        <w:rPr>
          <w:rtl w:val="0"/>
        </w:rPr>
        <w:t>rozwija</w:t>
      </w:r>
      <w:r>
        <w:rPr>
          <w:rtl w:val="0"/>
        </w:rPr>
        <w:t xml:space="preserve">ć </w:t>
      </w:r>
      <w:r>
        <w:rPr>
          <w:rtl w:val="0"/>
        </w:rPr>
        <w:t>innowacje w ramach indywidualnych projekt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</w:p>
    <w:p>
      <w:pPr>
        <w:pStyle w:val="Normal.0"/>
        <w:suppressAutoHyphens w:val="1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Kto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aplikowa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i gdzie szuka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informacji o konkursach?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  <w:r>
        <w:rPr>
          <w:rtl w:val="0"/>
        </w:rPr>
        <w:t>Do udzia</w:t>
      </w:r>
      <w:r>
        <w:rPr>
          <w:rtl w:val="0"/>
        </w:rPr>
        <w:t>ł</w:t>
      </w:r>
      <w:r>
        <w:rPr>
          <w:rtl w:val="0"/>
        </w:rPr>
        <w:t>u w konkursach mog</w:t>
      </w:r>
      <w:r>
        <w:rPr>
          <w:rtl w:val="0"/>
        </w:rPr>
        <w:t xml:space="preserve">ą </w:t>
      </w:r>
      <w:r>
        <w:rPr>
          <w:rtl w:val="0"/>
        </w:rPr>
        <w:t>przyst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 xml:space="preserve">wszystkie podmioty </w:t>
      </w:r>
      <w:r>
        <w:rPr>
          <w:rtl w:val="0"/>
        </w:rPr>
        <w:t xml:space="preserve">– </w:t>
      </w:r>
      <w:r>
        <w:rPr>
          <w:rtl w:val="0"/>
        </w:rPr>
        <w:t>zar</w:t>
      </w:r>
      <w:r>
        <w:rPr>
          <w:rtl w:val="0"/>
          <w:lang w:val="es-ES_tradnl"/>
        </w:rPr>
        <w:t>ó</w:t>
      </w:r>
      <w:r>
        <w:rPr>
          <w:rtl w:val="0"/>
        </w:rPr>
        <w:t>wno uczelnie, du</w:t>
      </w:r>
      <w:r>
        <w:rPr>
          <w:rtl w:val="0"/>
        </w:rPr>
        <w:t>ż</w:t>
      </w:r>
      <w:r>
        <w:rPr>
          <w:rtl w:val="0"/>
          <w:lang w:val="fr-FR"/>
        </w:rPr>
        <w:t>e, ma</w:t>
      </w:r>
      <w:r>
        <w:rPr>
          <w:rtl w:val="0"/>
        </w:rPr>
        <w:t>ł</w:t>
      </w:r>
      <w:r>
        <w:rPr>
          <w:rtl w:val="0"/>
        </w:rPr>
        <w:t xml:space="preserve">e i </w:t>
      </w:r>
      <w:r>
        <w:rPr>
          <w:rtl w:val="0"/>
        </w:rPr>
        <w:t>ś</w:t>
      </w:r>
      <w:r>
        <w:rPr>
          <w:rtl w:val="0"/>
        </w:rPr>
        <w:t>rednie przedsi</w:t>
      </w:r>
      <w:r>
        <w:rPr>
          <w:rtl w:val="0"/>
        </w:rPr>
        <w:t>ę</w:t>
      </w:r>
      <w:r>
        <w:rPr>
          <w:rtl w:val="0"/>
        </w:rPr>
        <w:t>biorstwa, jak i instytucje publiczne, fundacje czy organizacje mi</w:t>
      </w:r>
      <w:r>
        <w:rPr>
          <w:rtl w:val="0"/>
        </w:rPr>
        <w:t>ę</w:t>
      </w:r>
      <w:r>
        <w:rPr>
          <w:rtl w:val="0"/>
        </w:rPr>
        <w:t xml:space="preserve">dzynarodowe. </w:t>
      </w:r>
      <w:r>
        <w:rPr>
          <w:shd w:val="clear" w:color="auto" w:fill="ffffff"/>
          <w:rtl w:val="0"/>
        </w:rPr>
        <w:t xml:space="preserve">Kluczowym </w:t>
      </w:r>
      <w:r>
        <w:rPr>
          <w:shd w:val="clear" w:color="auto" w:fill="ffffff"/>
          <w:rtl w:val="0"/>
        </w:rPr>
        <w:t>ź</w:t>
      </w:r>
      <w:r>
        <w:rPr>
          <w:shd w:val="clear" w:color="auto" w:fill="ffffff"/>
          <w:rtl w:val="0"/>
        </w:rPr>
        <w:t>r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>em informacji o konkursach jest prowadzony przez Komisj</w:t>
      </w:r>
      <w:r>
        <w:rPr>
          <w:shd w:val="clear" w:color="auto" w:fill="ffffff"/>
          <w:rtl w:val="0"/>
        </w:rPr>
        <w:t xml:space="preserve">ę </w:t>
      </w:r>
      <w:r>
        <w:rPr>
          <w:shd w:val="clear" w:color="auto" w:fill="ffffff"/>
          <w:rtl w:val="0"/>
        </w:rPr>
        <w:t>Europejsk</w:t>
      </w:r>
      <w:r>
        <w:rPr>
          <w:shd w:val="clear" w:color="auto" w:fill="ffffff"/>
          <w:rtl w:val="0"/>
        </w:rPr>
        <w:t xml:space="preserve">ą </w:t>
      </w:r>
      <w:r>
        <w:rPr>
          <w:shd w:val="clear" w:color="auto" w:fill="ffffff"/>
          <w:rtl w:val="0"/>
        </w:rPr>
        <w:t>portal</w:t>
      </w:r>
      <w:r>
        <w:rPr>
          <w:shd w:val="clear" w:color="auto" w:fill="ffffff"/>
          <w:rtl w:val="0"/>
        </w:rPr>
        <w:t> </w:t>
      </w:r>
      <w:r>
        <w:rPr>
          <w:i w:val="1"/>
          <w:iCs w:val="1"/>
          <w:shd w:val="clear" w:color="auto" w:fill="ffffff"/>
          <w:rtl w:val="0"/>
          <w:lang w:val="en-US"/>
        </w:rPr>
        <w:t>Funding &amp; tender opportunities</w:t>
      </w:r>
      <w:r>
        <w:rPr>
          <w:shd w:val="clear" w:color="auto" w:fill="ffffff"/>
          <w:vertAlign w:val="superscript"/>
        </w:rPr>
        <w:footnoteReference w:id="1"/>
      </w:r>
      <w:r>
        <w:rPr>
          <w:shd w:val="clear" w:color="auto" w:fill="ffffff"/>
          <w:rtl w:val="0"/>
        </w:rPr>
        <w:t>. Proces aplikacji rozpoczyna si</w:t>
      </w:r>
      <w:r>
        <w:rPr>
          <w:shd w:val="clear" w:color="auto" w:fill="ffffff"/>
          <w:rtl w:val="0"/>
        </w:rPr>
        <w:t xml:space="preserve">ę </w:t>
      </w:r>
      <w:r>
        <w:rPr>
          <w:shd w:val="clear" w:color="auto" w:fill="ffffff"/>
          <w:rtl w:val="0"/>
        </w:rPr>
        <w:t>od rejestracji, za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>o</w:t>
      </w:r>
      <w:r>
        <w:rPr>
          <w:shd w:val="clear" w:color="auto" w:fill="ffffff"/>
          <w:rtl w:val="0"/>
        </w:rPr>
        <w:t>ż</w:t>
      </w:r>
      <w:r>
        <w:rPr>
          <w:shd w:val="clear" w:color="auto" w:fill="ffffff"/>
          <w:rtl w:val="0"/>
        </w:rPr>
        <w:t>enia indywidualnego konta, kt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fr-FR"/>
        </w:rPr>
        <w:t>re pos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>u</w:t>
      </w:r>
      <w:r>
        <w:rPr>
          <w:shd w:val="clear" w:color="auto" w:fill="ffffff"/>
          <w:rtl w:val="0"/>
        </w:rPr>
        <w:t>ż</w:t>
      </w:r>
      <w:r>
        <w:rPr>
          <w:shd w:val="clear" w:color="auto" w:fill="ffffff"/>
          <w:rtl w:val="0"/>
        </w:rPr>
        <w:t>y w procesie wnioskowania i realizacji projektu poprzez sk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>adanie raport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</w:rPr>
        <w:t>w w systemie. Kluczowym dzia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>aniem jest weryfikacja czy poprawno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 xml:space="preserve">ci rejestracji w </w:t>
      </w:r>
      <w:r>
        <w:rPr>
          <w:rtl w:val="0"/>
        </w:rPr>
        <w:t>portalu</w:t>
      </w:r>
      <w:r>
        <w:rPr>
          <w:i w:val="1"/>
          <w:iCs w:val="1"/>
          <w:rtl w:val="0"/>
        </w:rPr>
        <w:t>.</w:t>
      </w:r>
      <w:r>
        <w:rPr>
          <w:rtl w:val="0"/>
        </w:rPr>
        <w:t xml:space="preserve"> Potwierdzenie rejestracji uprawniaj</w:t>
      </w:r>
      <w:r>
        <w:rPr>
          <w:rtl w:val="0"/>
        </w:rPr>
        <w:t>ą</w:t>
      </w:r>
      <w:r>
        <w:rPr>
          <w:rtl w:val="0"/>
        </w:rPr>
        <w:t>ce do aplikacji w konkursach znajduje si</w:t>
      </w:r>
      <w:r>
        <w:rPr>
          <w:rtl w:val="0"/>
        </w:rPr>
        <w:t xml:space="preserve">ę </w:t>
      </w:r>
      <w:r>
        <w:rPr>
          <w:rtl w:val="0"/>
        </w:rPr>
        <w:t>w zak</w:t>
      </w:r>
      <w:r>
        <w:rPr>
          <w:rtl w:val="0"/>
        </w:rPr>
        <w:t>ł</w:t>
      </w:r>
      <w:r>
        <w:rPr>
          <w:rtl w:val="0"/>
        </w:rPr>
        <w:t>adce</w:t>
      </w:r>
      <w:r>
        <w:rPr>
          <w:rtl w:val="0"/>
        </w:rPr>
        <w:t> </w:t>
      </w:r>
      <w:r>
        <w:rPr>
          <w:i w:val="1"/>
          <w:iCs w:val="1"/>
          <w:rtl w:val="0"/>
          <w:lang w:val="pt-PT"/>
        </w:rPr>
        <w:t>Participant Register.</w:t>
      </w:r>
    </w:p>
    <w:p>
      <w:pPr>
        <w:pStyle w:val="Normal.0"/>
        <w:suppressAutoHyphens w:val="1"/>
        <w:spacing w:after="0" w:line="240" w:lineRule="auto"/>
        <w:jc w:val="both"/>
      </w:pPr>
    </w:p>
    <w:p>
      <w:pPr>
        <w:pStyle w:val="Normal.0"/>
        <w:suppressAutoHyphens w:val="1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Struktura Programu Horyzont Europa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  <w:r>
        <w:rPr>
          <w:rtl w:val="0"/>
        </w:rPr>
        <w:t>Horyzont Europa</w:t>
      </w:r>
      <w:r>
        <w:rPr>
          <w:rtl w:val="0"/>
        </w:rPr>
        <w:t> 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  <w:lang w:val="it-IT"/>
        </w:rPr>
        <w:t>z 3 filar</w:t>
      </w:r>
      <w:r>
        <w:rPr>
          <w:rtl w:val="0"/>
          <w:lang w:val="es-ES_tradnl"/>
        </w:rPr>
        <w:t>ó</w:t>
      </w:r>
      <w:r>
        <w:rPr>
          <w:rtl w:val="0"/>
        </w:rPr>
        <w:t>w:</w:t>
      </w:r>
    </w:p>
    <w:p>
      <w:pPr>
        <w:pStyle w:val="Normal.0"/>
        <w:shd w:val="clear" w:color="auto" w:fill="fcfbfc"/>
        <w:suppressAutoHyphens w:val="1"/>
        <w:spacing w:after="0" w:line="240" w:lineRule="auto"/>
        <w:jc w:val="both"/>
      </w:pPr>
      <w:r>
        <w:rPr>
          <w:rtl w:val="0"/>
        </w:rPr>
        <w:t xml:space="preserve">– </w:t>
      </w:r>
      <w:r>
        <w:rPr>
          <w:rtl w:val="0"/>
          <w:lang w:val="en-US"/>
        </w:rPr>
        <w:t xml:space="preserve">Filar I </w:t>
      </w:r>
      <w:r>
        <w:rPr>
          <w:rtl w:val="0"/>
        </w:rPr>
        <w:t xml:space="preserve">– </w:t>
      </w:r>
      <w:r>
        <w:rPr>
          <w:rtl w:val="0"/>
        </w:rPr>
        <w:t>Doskona</w:t>
      </w:r>
      <w:r>
        <w:rPr>
          <w:rtl w:val="0"/>
        </w:rPr>
        <w:t>ł</w:t>
      </w:r>
      <w:r>
        <w:rPr>
          <w:rtl w:val="0"/>
        </w:rPr>
        <w:t xml:space="preserve">a baza naukowa </w:t>
      </w:r>
      <w:r>
        <w:rPr>
          <w:rtl w:val="0"/>
        </w:rPr>
        <w:t xml:space="preserve">– </w:t>
      </w:r>
      <w:r>
        <w:rPr>
          <w:rtl w:val="0"/>
        </w:rPr>
        <w:t>z bud</w:t>
      </w:r>
      <w:r>
        <w:rPr>
          <w:rtl w:val="0"/>
        </w:rPr>
        <w:t>ż</w:t>
      </w:r>
      <w:r>
        <w:rPr>
          <w:rtl w:val="0"/>
        </w:rPr>
        <w:t>etem ok. 24 mld euro,</w:t>
      </w:r>
    </w:p>
    <w:p>
      <w:pPr>
        <w:pStyle w:val="Normal.0"/>
        <w:shd w:val="clear" w:color="auto" w:fill="fcfbfc"/>
        <w:suppressAutoHyphens w:val="1"/>
        <w:spacing w:after="0" w:line="240" w:lineRule="auto"/>
        <w:jc w:val="both"/>
      </w:pPr>
      <w:r>
        <w:rPr>
          <w:rtl w:val="0"/>
        </w:rPr>
        <w:t xml:space="preserve">– </w:t>
      </w:r>
      <w:r>
        <w:rPr>
          <w:rtl w:val="0"/>
          <w:lang w:val="en-US"/>
        </w:rPr>
        <w:t xml:space="preserve">Filar II </w:t>
      </w:r>
      <w:r>
        <w:rPr>
          <w:rtl w:val="0"/>
        </w:rPr>
        <w:t xml:space="preserve">– </w:t>
      </w:r>
      <w:r>
        <w:rPr>
          <w:rtl w:val="0"/>
        </w:rPr>
        <w:t>Globalne wyzwania i europejska konkurencyjno</w:t>
      </w:r>
      <w:r>
        <w:rPr>
          <w:rtl w:val="0"/>
        </w:rPr>
        <w:t xml:space="preserve">ść </w:t>
      </w:r>
      <w:r>
        <w:rPr>
          <w:rtl w:val="0"/>
        </w:rPr>
        <w:t>przemys</w:t>
      </w:r>
      <w:r>
        <w:rPr>
          <w:rtl w:val="0"/>
        </w:rPr>
        <w:t>ł</w:t>
      </w:r>
      <w:r>
        <w:rPr>
          <w:rtl w:val="0"/>
        </w:rPr>
        <w:t xml:space="preserve">owa </w:t>
      </w:r>
      <w:r>
        <w:rPr>
          <w:rtl w:val="0"/>
        </w:rPr>
        <w:t xml:space="preserve">– </w:t>
      </w:r>
      <w:r>
        <w:rPr>
          <w:rtl w:val="0"/>
        </w:rPr>
        <w:t>z bud</w:t>
      </w:r>
      <w:r>
        <w:rPr>
          <w:rtl w:val="0"/>
        </w:rPr>
        <w:t>ż</w:t>
      </w:r>
      <w:r>
        <w:rPr>
          <w:rtl w:val="0"/>
        </w:rPr>
        <w:t>etem ok. 48,5 mld euro,</w:t>
      </w:r>
    </w:p>
    <w:p>
      <w:pPr>
        <w:pStyle w:val="Normal.0"/>
        <w:shd w:val="clear" w:color="auto" w:fill="fcfbfc"/>
        <w:suppressAutoHyphens w:val="1"/>
        <w:spacing w:after="0" w:line="240" w:lineRule="auto"/>
        <w:jc w:val="both"/>
      </w:pPr>
      <w:r>
        <w:rPr>
          <w:rtl w:val="0"/>
        </w:rPr>
        <w:t xml:space="preserve">– </w:t>
      </w:r>
      <w:r>
        <w:rPr>
          <w:rtl w:val="0"/>
          <w:lang w:val="es-ES_tradnl"/>
        </w:rPr>
        <w:t xml:space="preserve">Filar III </w:t>
      </w:r>
      <w:r>
        <w:rPr>
          <w:rtl w:val="0"/>
        </w:rPr>
        <w:t xml:space="preserve">– </w:t>
      </w:r>
      <w:r>
        <w:rPr>
          <w:rtl w:val="0"/>
        </w:rPr>
        <w:t xml:space="preserve">Innowacyjna Europa </w:t>
      </w:r>
      <w:r>
        <w:rPr>
          <w:rtl w:val="0"/>
        </w:rPr>
        <w:t xml:space="preserve">– </w:t>
      </w:r>
      <w:r>
        <w:rPr>
          <w:rtl w:val="0"/>
        </w:rPr>
        <w:t>z bud</w:t>
      </w:r>
      <w:r>
        <w:rPr>
          <w:rtl w:val="0"/>
        </w:rPr>
        <w:t>ż</w:t>
      </w:r>
      <w:r>
        <w:rPr>
          <w:rtl w:val="0"/>
        </w:rPr>
        <w:t>etem ok. 11,5 mld euro.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  <w:r>
        <w:rPr>
          <w:i w:val="1"/>
          <w:iCs w:val="1"/>
          <w:rtl w:val="0"/>
        </w:rPr>
        <w:t>Obszarem,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ry najbardziej powinien zainteresowa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przedsi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biorc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 xml:space="preserve">w jest filar II </w:t>
      </w:r>
      <w:r>
        <w:rPr>
          <w:i w:val="1"/>
          <w:iCs w:val="1"/>
          <w:rtl w:val="0"/>
        </w:rPr>
        <w:t xml:space="preserve">– </w:t>
      </w:r>
      <w:r>
        <w:rPr>
          <w:rtl w:val="0"/>
        </w:rPr>
        <w:t>zauwa</w:t>
      </w:r>
      <w:r>
        <w:rPr>
          <w:rtl w:val="0"/>
        </w:rPr>
        <w:t>ż</w:t>
      </w:r>
      <w:r>
        <w:rPr>
          <w:rtl w:val="0"/>
        </w:rPr>
        <w:t>a Laura Kloch Starszy konsultant ds. projekt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UE z CBRTP. </w:t>
      </w:r>
      <w:r>
        <w:rPr>
          <w:i w:val="1"/>
          <w:iCs w:val="1"/>
          <w:rtl w:val="0"/>
        </w:rPr>
        <w:t>Za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enia Programu Horyzont Europa oparte s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na wsp</w:t>
      </w:r>
      <w:r>
        <w:rPr>
          <w:i w:val="1"/>
          <w:iCs w:val="1"/>
          <w:rtl w:val="0"/>
        </w:rPr>
        <w:t>ół</w:t>
      </w:r>
      <w:r>
        <w:rPr>
          <w:i w:val="1"/>
          <w:iCs w:val="1"/>
          <w:rtl w:val="0"/>
        </w:rPr>
        <w:t>pracy w zakresie wyzwa</w:t>
      </w:r>
      <w:r>
        <w:rPr>
          <w:i w:val="1"/>
          <w:iCs w:val="1"/>
          <w:rtl w:val="0"/>
        </w:rPr>
        <w:t xml:space="preserve">ń </w:t>
      </w:r>
      <w:r>
        <w:rPr>
          <w:i w:val="1"/>
          <w:iCs w:val="1"/>
          <w:rtl w:val="0"/>
        </w:rPr>
        <w:t>spo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ecznych, przed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rymi stoi Europa oraz wzmacnianie potencja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u technologicznego i przemys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owego poprzez obszary tematyczne, czyli klastry</w:t>
      </w:r>
      <w:r>
        <w:rPr>
          <w:rtl w:val="0"/>
        </w:rPr>
        <w:t xml:space="preserve">. </w:t>
      </w:r>
      <w:r>
        <w:rPr>
          <w:rtl w:val="0"/>
        </w:rPr>
        <w:t xml:space="preserve">– </w:t>
      </w:r>
      <w:r>
        <w:rPr>
          <w:rtl w:val="0"/>
        </w:rPr>
        <w:t xml:space="preserve">dodaje. 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</w:p>
    <w:p>
      <w:pPr>
        <w:pStyle w:val="Normal.0"/>
        <w:shd w:val="clear" w:color="auto" w:fill="ffffff"/>
        <w:suppressAutoHyphens w:val="1"/>
        <w:spacing w:after="0" w:line="240" w:lineRule="auto"/>
        <w:jc w:val="both"/>
      </w:pPr>
      <w:r>
        <w:rPr>
          <w:rtl w:val="0"/>
        </w:rPr>
        <w:t>II filar obejmuje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klastry:</w:t>
      </w:r>
    </w:p>
    <w:p>
      <w:pPr>
        <w:pStyle w:val="List Paragraph"/>
        <w:numPr>
          <w:ilvl w:val="0"/>
          <w:numId w:val="2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"https://www.kpk.gov.pl/horyzont-europa/klastry/zdrowie"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Zdrowie</w:t>
      </w:r>
      <w:r>
        <w:rPr/>
        <w:fldChar w:fldCharType="end" w:fldLock="0"/>
      </w:r>
      <w:r>
        <w:rPr>
          <w:rStyle w:val="Brak"/>
          <w:vertAlign w:val="superscript"/>
        </w:rPr>
        <w:footnoteReference w:id="2"/>
      </w:r>
    </w:p>
    <w:p>
      <w:pPr>
        <w:pStyle w:val="List Paragraph"/>
        <w:numPr>
          <w:ilvl w:val="0"/>
          <w:numId w:val="2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"https://www.kpk.gov.pl/horyzont-europa/klastry/kultura"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Kultura, kreatywno</w:t>
      </w:r>
      <w:r>
        <w:rPr>
          <w:rStyle w:val="Hyperlink.0"/>
          <w:rtl w:val="0"/>
        </w:rPr>
        <w:t xml:space="preserve">ść </w:t>
      </w:r>
      <w:r>
        <w:rPr>
          <w:rStyle w:val="Hyperlink.0"/>
          <w:rtl w:val="0"/>
        </w:rPr>
        <w:t>i spo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ecze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stwo integracyjne</w:t>
      </w:r>
      <w:r>
        <w:rPr/>
        <w:fldChar w:fldCharType="end" w:fldLock="0"/>
      </w:r>
      <w:r>
        <w:rPr>
          <w:rStyle w:val="Brak"/>
          <w:vertAlign w:val="superscript"/>
        </w:rPr>
        <w:footnoteReference w:id="3"/>
      </w:r>
    </w:p>
    <w:p>
      <w:pPr>
        <w:pStyle w:val="List Paragraph"/>
        <w:numPr>
          <w:ilvl w:val="0"/>
          <w:numId w:val="2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"https://www.kpk.gov.pl/horyzont-europa/klastry/digital-industry-space"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Technologie cyfrowe, przemys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, przestrze</w:t>
      </w:r>
      <w:r>
        <w:rPr>
          <w:rStyle w:val="Hyperlink.0"/>
          <w:rtl w:val="0"/>
        </w:rPr>
        <w:t xml:space="preserve">ń </w:t>
      </w:r>
      <w:r>
        <w:rPr>
          <w:rStyle w:val="Hyperlink.0"/>
          <w:rtl w:val="0"/>
        </w:rPr>
        <w:t>kosmiczna</w:t>
      </w:r>
      <w:r>
        <w:rPr/>
        <w:fldChar w:fldCharType="end" w:fldLock="0"/>
      </w:r>
      <w:r>
        <w:rPr>
          <w:rStyle w:val="Brak"/>
          <w:vertAlign w:val="superscript"/>
        </w:rPr>
        <w:footnoteReference w:id="4"/>
      </w:r>
    </w:p>
    <w:p>
      <w:pPr>
        <w:pStyle w:val="List Paragraph"/>
        <w:numPr>
          <w:ilvl w:val="0"/>
          <w:numId w:val="2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"https://www.kpk.gov.pl/horyzont-europa/klastry/civil-security"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Bezpiecze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stwo cywilne na rzecz spo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ecze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stwa</w:t>
      </w:r>
      <w:r>
        <w:rPr/>
        <w:fldChar w:fldCharType="end" w:fldLock="0"/>
      </w:r>
      <w:r>
        <w:rPr>
          <w:rStyle w:val="Brak"/>
          <w:vertAlign w:val="superscript"/>
        </w:rPr>
        <w:footnoteReference w:id="5"/>
      </w:r>
    </w:p>
    <w:p>
      <w:pPr>
        <w:pStyle w:val="List Paragraph"/>
        <w:numPr>
          <w:ilvl w:val="0"/>
          <w:numId w:val="2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"https://www.kpk.gov.pl/horyzont-europa/klastry/klimat-energia-mobilnosc"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Klimat, energia, mobilno</w:t>
      </w:r>
      <w:r>
        <w:rPr>
          <w:rStyle w:val="Hyperlink.0"/>
          <w:rtl w:val="0"/>
        </w:rPr>
        <w:t>ść</w:t>
      </w:r>
      <w:r>
        <w:rPr/>
        <w:fldChar w:fldCharType="end" w:fldLock="0"/>
      </w:r>
      <w:r>
        <w:rPr>
          <w:rStyle w:val="Brak"/>
          <w:vertAlign w:val="superscript"/>
        </w:rPr>
        <w:footnoteReference w:id="6"/>
      </w:r>
    </w:p>
    <w:p>
      <w:pPr>
        <w:pStyle w:val="List Paragraph"/>
        <w:numPr>
          <w:ilvl w:val="0"/>
          <w:numId w:val="2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"https://www.kpk.gov.pl/horyzont-europa/klastry/zywnosc-biogospodarka-zasoby-naturalne-rolnictwo-srodowisko"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ywno</w:t>
      </w:r>
      <w:r>
        <w:rPr>
          <w:rStyle w:val="Hyperlink.0"/>
          <w:rtl w:val="0"/>
        </w:rPr>
        <w:t>ść</w:t>
      </w:r>
      <w:r>
        <w:rPr>
          <w:rStyle w:val="Hyperlink.0"/>
          <w:rtl w:val="0"/>
        </w:rPr>
        <w:t xml:space="preserve">, biogospodarka, zasoby naturalne, rolnictwo i 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rodowisko</w:t>
      </w:r>
      <w:r>
        <w:rPr/>
        <w:fldChar w:fldCharType="end" w:fldLock="0"/>
      </w:r>
      <w:r>
        <w:rPr>
          <w:rStyle w:val="Brak"/>
          <w:vertAlign w:val="superscript"/>
        </w:rPr>
        <w:footnoteReference w:id="7"/>
      </w:r>
      <w:r>
        <w:rPr>
          <w:rStyle w:val="Hyperlink.0"/>
          <w:rtl w:val="0"/>
        </w:rPr>
        <w:t>.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Brak"/>
          <w:shd w:val="clear" w:color="auto" w:fill="fcfbfc"/>
        </w:rPr>
      </w:pP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Brak"/>
          <w:shd w:val="clear" w:color="auto" w:fill="fcfbfc"/>
        </w:rPr>
      </w:pPr>
      <w:r>
        <w:rPr>
          <w:rStyle w:val="Brak"/>
          <w:shd w:val="clear" w:color="auto" w:fill="fcfbfc"/>
          <w:rtl w:val="0"/>
        </w:rPr>
        <w:t>W ramach klastr</w:t>
      </w:r>
      <w:r>
        <w:rPr>
          <w:rStyle w:val="Brak"/>
          <w:shd w:val="clear" w:color="auto" w:fill="fcfbfc"/>
          <w:rtl w:val="0"/>
          <w:lang w:val="es-ES_tradnl"/>
        </w:rPr>
        <w:t>ó</w:t>
      </w:r>
      <w:r>
        <w:rPr>
          <w:rStyle w:val="Brak"/>
          <w:shd w:val="clear" w:color="auto" w:fill="fcfbfc"/>
          <w:rtl w:val="0"/>
        </w:rPr>
        <w:t>w organizowane s</w:t>
      </w:r>
      <w:r>
        <w:rPr>
          <w:rStyle w:val="Brak"/>
          <w:shd w:val="clear" w:color="auto" w:fill="fcfbfc"/>
          <w:rtl w:val="0"/>
        </w:rPr>
        <w:t xml:space="preserve">ą </w:t>
      </w:r>
      <w:r>
        <w:rPr>
          <w:rStyle w:val="Brak"/>
          <w:shd w:val="clear" w:color="auto" w:fill="fcfbfc"/>
          <w:rtl w:val="0"/>
        </w:rPr>
        <w:t>nabory do projekt</w:t>
      </w:r>
      <w:r>
        <w:rPr>
          <w:rStyle w:val="Brak"/>
          <w:shd w:val="clear" w:color="auto" w:fill="fcfbfc"/>
          <w:rtl w:val="0"/>
          <w:lang w:val="es-ES_tradnl"/>
        </w:rPr>
        <w:t>ó</w:t>
      </w:r>
      <w:r>
        <w:rPr>
          <w:rStyle w:val="Brak"/>
          <w:shd w:val="clear" w:color="auto" w:fill="fcfbfc"/>
          <w:rtl w:val="0"/>
        </w:rPr>
        <w:t>w, kt</w:t>
      </w:r>
      <w:r>
        <w:rPr>
          <w:rStyle w:val="Brak"/>
          <w:shd w:val="clear" w:color="auto" w:fill="fcfbfc"/>
          <w:rtl w:val="0"/>
          <w:lang w:val="es-ES_tradnl"/>
        </w:rPr>
        <w:t>ó</w:t>
      </w:r>
      <w:r>
        <w:rPr>
          <w:rStyle w:val="Brak"/>
          <w:shd w:val="clear" w:color="auto" w:fill="fcfbfc"/>
          <w:rtl w:val="0"/>
          <w:lang w:val="en-US"/>
        </w:rPr>
        <w:t>re mo</w:t>
      </w:r>
      <w:r>
        <w:rPr>
          <w:rStyle w:val="Brak"/>
          <w:shd w:val="clear" w:color="auto" w:fill="fcfbfc"/>
          <w:rtl w:val="0"/>
        </w:rPr>
        <w:t>ż</w:t>
      </w:r>
      <w:r>
        <w:rPr>
          <w:rStyle w:val="Brak"/>
          <w:shd w:val="clear" w:color="auto" w:fill="fcfbfc"/>
          <w:rtl w:val="0"/>
        </w:rPr>
        <w:t xml:space="preserve">na </w:t>
      </w:r>
      <w:r>
        <w:rPr>
          <w:rStyle w:val="Brak"/>
          <w:shd w:val="clear" w:color="auto" w:fill="fcfbfc"/>
          <w:rtl w:val="0"/>
        </w:rPr>
        <w:t>ś</w:t>
      </w:r>
      <w:r>
        <w:rPr>
          <w:rStyle w:val="Brak"/>
          <w:shd w:val="clear" w:color="auto" w:fill="fcfbfc"/>
          <w:rtl w:val="0"/>
        </w:rPr>
        <w:t>ledzi</w:t>
      </w:r>
      <w:r>
        <w:rPr>
          <w:rStyle w:val="Brak"/>
          <w:shd w:val="clear" w:color="auto" w:fill="fcfbfc"/>
          <w:rtl w:val="0"/>
        </w:rPr>
        <w:t xml:space="preserve">ć </w:t>
      </w:r>
      <w:r>
        <w:rPr>
          <w:rStyle w:val="Brak"/>
          <w:shd w:val="clear" w:color="auto" w:fill="fcfbfc"/>
          <w:rtl w:val="0"/>
        </w:rPr>
        <w:t xml:space="preserve">w portalu </w:t>
      </w:r>
      <w:r>
        <w:rPr>
          <w:rStyle w:val="Brak"/>
          <w:i w:val="1"/>
          <w:iCs w:val="1"/>
          <w:rtl w:val="0"/>
          <w:lang w:val="en-US"/>
        </w:rPr>
        <w:t>Funding &amp; tender opportunities</w:t>
      </w:r>
      <w:r>
        <w:rPr>
          <w:rStyle w:val="Hyperlink.0"/>
          <w:rtl w:val="0"/>
        </w:rPr>
        <w:t> </w:t>
      </w:r>
      <w:r>
        <w:rPr>
          <w:rStyle w:val="Brak"/>
          <w:shd w:val="clear" w:color="auto" w:fill="fcfbfc"/>
          <w:rtl w:val="0"/>
        </w:rPr>
        <w:t>lub wyszuka</w:t>
      </w:r>
      <w:r>
        <w:rPr>
          <w:rStyle w:val="Brak"/>
          <w:shd w:val="clear" w:color="auto" w:fill="fcfbfc"/>
          <w:rtl w:val="0"/>
        </w:rPr>
        <w:t xml:space="preserve">ć </w:t>
      </w:r>
      <w:r>
        <w:rPr>
          <w:rStyle w:val="Brak"/>
          <w:shd w:val="clear" w:color="auto" w:fill="fcfbfc"/>
          <w:rtl w:val="0"/>
        </w:rPr>
        <w:t>w dwuletnim planie nabor</w:t>
      </w:r>
      <w:r>
        <w:rPr>
          <w:rStyle w:val="Brak"/>
          <w:shd w:val="clear" w:color="auto" w:fill="fcfbfc"/>
          <w:rtl w:val="0"/>
          <w:lang w:val="es-ES_tradnl"/>
        </w:rPr>
        <w:t>ó</w:t>
      </w:r>
      <w:r>
        <w:rPr>
          <w:rStyle w:val="Brak"/>
          <w:shd w:val="clear" w:color="auto" w:fill="fcfbfc"/>
          <w:rtl w:val="0"/>
        </w:rPr>
        <w:t>w podzielonym na klastry. Dzia</w:t>
      </w:r>
      <w:r>
        <w:rPr>
          <w:rStyle w:val="Brak"/>
          <w:shd w:val="clear" w:color="auto" w:fill="fcfbfc"/>
          <w:rtl w:val="0"/>
        </w:rPr>
        <w:t>ł</w:t>
      </w:r>
      <w:r>
        <w:rPr>
          <w:rStyle w:val="Brak"/>
          <w:shd w:val="clear" w:color="auto" w:fill="fcfbfc"/>
          <w:rtl w:val="0"/>
        </w:rPr>
        <w:t>ania w ramach klastr</w:t>
      </w:r>
      <w:r>
        <w:rPr>
          <w:rStyle w:val="Brak"/>
          <w:shd w:val="clear" w:color="auto" w:fill="fcfbfc"/>
          <w:rtl w:val="0"/>
          <w:lang w:val="es-ES_tradnl"/>
        </w:rPr>
        <w:t>ó</w:t>
      </w:r>
      <w:r>
        <w:rPr>
          <w:rStyle w:val="Brak"/>
          <w:shd w:val="clear" w:color="auto" w:fill="fcfbfc"/>
          <w:rtl w:val="0"/>
        </w:rPr>
        <w:t xml:space="preserve">w </w:t>
      </w:r>
      <w:r>
        <w:rPr>
          <w:rStyle w:val="Hyperlink.0"/>
          <w:rtl w:val="0"/>
        </w:rPr>
        <w:t>w zakresie doradztwa naukowego czy wsparcia technicznego,</w:t>
      </w:r>
      <w:r>
        <w:rPr>
          <w:rStyle w:val="Brak"/>
          <w:shd w:val="clear" w:color="auto" w:fill="fcfbfc"/>
          <w:rtl w:val="0"/>
        </w:rPr>
        <w:t xml:space="preserve"> ma wspiera</w:t>
      </w:r>
      <w:r>
        <w:rPr>
          <w:rStyle w:val="Brak"/>
          <w:shd w:val="clear" w:color="auto" w:fill="fcfbfc"/>
          <w:rtl w:val="0"/>
        </w:rPr>
        <w:t xml:space="preserve">ć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"https://www.kpk.gov.pl/horyzont-europa/klastry/jrc"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Wsp</w:t>
      </w:r>
      <w:r>
        <w:rPr>
          <w:rStyle w:val="Hyperlink.1"/>
          <w:rtl w:val="0"/>
          <w:lang w:val="es-ES_tradnl"/>
        </w:rPr>
        <w:t>ó</w:t>
      </w:r>
      <w:r>
        <w:rPr>
          <w:rStyle w:val="Hyperlink.1"/>
          <w:rtl w:val="0"/>
        </w:rPr>
        <w:t>lne Centrum Badawcze</w:t>
      </w:r>
      <w:r>
        <w:rPr/>
        <w:fldChar w:fldCharType="end" w:fldLock="0"/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(</w:t>
      </w:r>
      <w:r>
        <w:rPr>
          <w:rStyle w:val="Brak"/>
          <w:i w:val="1"/>
          <w:iCs w:val="1"/>
          <w:rtl w:val="0"/>
          <w:lang w:val="en-US"/>
        </w:rPr>
        <w:t>Joint Research Centre</w:t>
      </w:r>
      <w:r>
        <w:rPr>
          <w:rStyle w:val="Hyperlink.0"/>
          <w:rtl w:val="0"/>
        </w:rPr>
        <w:t xml:space="preserve"> – </w:t>
      </w:r>
      <w:r>
        <w:rPr>
          <w:rStyle w:val="Hyperlink.0"/>
          <w:rtl w:val="0"/>
          <w:lang w:val="pt-PT"/>
        </w:rPr>
        <w:t>JRC).</w:t>
      </w:r>
      <w:r>
        <w:rPr>
          <w:rStyle w:val="Brak"/>
          <w:shd w:val="clear" w:color="auto" w:fill="fcfbfc"/>
          <w:rtl w:val="0"/>
        </w:rPr>
        <w:t xml:space="preserve"> Nabory s</w:t>
      </w:r>
      <w:r>
        <w:rPr>
          <w:rStyle w:val="Brak"/>
          <w:shd w:val="clear" w:color="auto" w:fill="fcfbfc"/>
          <w:rtl w:val="0"/>
        </w:rPr>
        <w:t xml:space="preserve">ą </w:t>
      </w:r>
      <w:r>
        <w:rPr>
          <w:rStyle w:val="Brak"/>
          <w:shd w:val="clear" w:color="auto" w:fill="fcfbfc"/>
          <w:rtl w:val="0"/>
        </w:rPr>
        <w:t>og</w:t>
      </w:r>
      <w:r>
        <w:rPr>
          <w:rStyle w:val="Brak"/>
          <w:shd w:val="clear" w:color="auto" w:fill="fcfbfc"/>
          <w:rtl w:val="0"/>
        </w:rPr>
        <w:t>ł</w:t>
      </w:r>
      <w:r>
        <w:rPr>
          <w:rStyle w:val="Brak"/>
          <w:shd w:val="clear" w:color="auto" w:fill="fcfbfc"/>
          <w:rtl w:val="0"/>
        </w:rPr>
        <w:t>aszane regularnie, w trakcie ka</w:t>
      </w:r>
      <w:r>
        <w:rPr>
          <w:rStyle w:val="Brak"/>
          <w:shd w:val="clear" w:color="auto" w:fill="fcfbfc"/>
          <w:rtl w:val="0"/>
        </w:rPr>
        <w:t>ż</w:t>
      </w:r>
      <w:r>
        <w:rPr>
          <w:rStyle w:val="Brak"/>
          <w:shd w:val="clear" w:color="auto" w:fill="fcfbfc"/>
          <w:rtl w:val="0"/>
        </w:rPr>
        <w:t>dego roku obecnej perspektywy finansowej (2021-2027).</w:t>
      </w:r>
    </w:p>
    <w:p>
      <w:pPr>
        <w:pStyle w:val="Normal.0"/>
        <w:suppressAutoHyphens w:val="1"/>
        <w:spacing w:after="0" w:line="240" w:lineRule="auto"/>
        <w:jc w:val="both"/>
      </w:pPr>
    </w:p>
    <w:p>
      <w:pPr>
        <w:pStyle w:val="Normal.0"/>
        <w:suppressAutoHyphens w:val="1"/>
        <w:spacing w:after="0" w:line="240" w:lineRule="auto"/>
        <w:jc w:val="both"/>
        <w:rPr>
          <w:rStyle w:val="Hyperlink.1"/>
        </w:rPr>
      </w:pPr>
      <w:r>
        <w:rPr>
          <w:rStyle w:val="Hyperlink.1"/>
          <w:rtl w:val="0"/>
        </w:rPr>
        <w:t>O jaki poziom dotacji mo</w:t>
      </w:r>
      <w:r>
        <w:rPr>
          <w:rStyle w:val="Hyperlink.1"/>
          <w:rtl w:val="0"/>
        </w:rPr>
        <w:t>ż</w:t>
      </w:r>
      <w:r>
        <w:rPr>
          <w:rStyle w:val="Hyperlink.1"/>
          <w:rtl w:val="0"/>
        </w:rPr>
        <w:t>na wnioskowa</w:t>
      </w:r>
      <w:r>
        <w:rPr>
          <w:rStyle w:val="Hyperlink.1"/>
          <w:rtl w:val="0"/>
        </w:rPr>
        <w:t>ć</w:t>
      </w:r>
      <w:r>
        <w:rPr>
          <w:rStyle w:val="Hyperlink.1"/>
          <w:rtl w:val="0"/>
          <w:lang w:val="zh-TW" w:eastAsia="zh-TW"/>
        </w:rPr>
        <w:t>?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Hyperlink.0"/>
        </w:rPr>
      </w:pPr>
      <w:r>
        <w:rPr>
          <w:rStyle w:val="Hyperlink.0"/>
          <w:rtl w:val="0"/>
        </w:rPr>
        <w:t>W Horyzoncie Europa wniosek sk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ada si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z 2 cz</w:t>
      </w:r>
      <w:r>
        <w:rPr>
          <w:rStyle w:val="Hyperlink.0"/>
          <w:rtl w:val="0"/>
        </w:rPr>
        <w:t>ęś</w:t>
      </w:r>
      <w:r>
        <w:rPr>
          <w:rStyle w:val="Hyperlink.0"/>
          <w:rtl w:val="0"/>
        </w:rPr>
        <w:t>ci - administracyjnej oraz merytorycznej. Zasady okre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laj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ce wymagania wobec wnioskodawc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i kryteria oceny s</w:t>
      </w:r>
      <w:r>
        <w:rPr>
          <w:rStyle w:val="Hyperlink.0"/>
          <w:rtl w:val="0"/>
        </w:rPr>
        <w:t>ą </w:t>
      </w:r>
      <w:r>
        <w:rPr>
          <w:rStyle w:val="Hyperlink.0"/>
          <w:rtl w:val="0"/>
        </w:rPr>
        <w:t xml:space="preserve">opisane w </w:t>
      </w:r>
      <w:r>
        <w:rPr>
          <w:rStyle w:val="Brak"/>
          <w:i w:val="1"/>
          <w:iCs w:val="1"/>
          <w:rtl w:val="0"/>
        </w:rPr>
        <w:t>Aneksie do programu pracy Horyzontu Europa na lata 2021-2022.</w:t>
      </w:r>
      <w:r>
        <w:rPr>
          <w:rStyle w:val="Hyperlink.0"/>
          <w:rtl w:val="0"/>
        </w:rPr>
        <w:t xml:space="preserve"> Wsparcie na badania udzielane jest w formie dotacji. Dofinansowanie mog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uzyska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projekty o r</w:t>
      </w:r>
      <w:r>
        <w:rPr>
          <w:rStyle w:val="Hyperlink.0"/>
          <w:rtl w:val="0"/>
        </w:rPr>
        <w:t>óż</w:t>
      </w:r>
      <w:r>
        <w:rPr>
          <w:rStyle w:val="Hyperlink.0"/>
          <w:rtl w:val="0"/>
        </w:rPr>
        <w:t>nym celu.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Konkursy typu RIA (</w:t>
      </w:r>
      <w:r>
        <w:rPr>
          <w:rStyle w:val="Brak"/>
          <w:i w:val="1"/>
          <w:iCs w:val="1"/>
          <w:rtl w:val="0"/>
          <w:lang w:val="en-US"/>
        </w:rPr>
        <w:t>research and innovation actions</w:t>
      </w:r>
      <w:r>
        <w:rPr>
          <w:rStyle w:val="Hyperlink.0"/>
          <w:rtl w:val="0"/>
        </w:rPr>
        <w:t>) nakierowane s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na pozyskanie nowej wiedzy lub eksploracj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wykonalno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ci nowej lub ulepszonej technologii. Celem konkurs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typu IA (</w:t>
      </w:r>
      <w:r>
        <w:rPr>
          <w:rStyle w:val="Brak"/>
          <w:i w:val="1"/>
          <w:iCs w:val="1"/>
          <w:rtl w:val="0"/>
          <w:lang w:val="fr-FR"/>
        </w:rPr>
        <w:t>Innovation actions</w:t>
      </w:r>
      <w:r>
        <w:rPr>
          <w:rStyle w:val="Hyperlink.0"/>
          <w:rtl w:val="0"/>
        </w:rPr>
        <w:t>) jest stworzenie plan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nowych lub ulepszonych produkt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w, proces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czy us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ug. Projekty typu TMA (</w:t>
      </w:r>
      <w:r>
        <w:rPr>
          <w:rStyle w:val="Brak"/>
          <w:i w:val="1"/>
          <w:iCs w:val="1"/>
          <w:rtl w:val="0"/>
          <w:lang w:val="en-US"/>
        </w:rPr>
        <w:t>Training and mobility actions</w:t>
      </w:r>
      <w:r>
        <w:rPr>
          <w:rStyle w:val="Hyperlink.0"/>
          <w:rtl w:val="0"/>
        </w:rPr>
        <w:t>) dotycz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zwi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kszenia umiej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tno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ci i wsp</w:t>
      </w:r>
      <w:r>
        <w:rPr>
          <w:rStyle w:val="Hyperlink.0"/>
          <w:rtl w:val="0"/>
        </w:rPr>
        <w:t>ół</w:t>
      </w:r>
      <w:r>
        <w:rPr>
          <w:rStyle w:val="Hyperlink.0"/>
          <w:rtl w:val="0"/>
        </w:rPr>
        <w:t>pracy naukowc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w. Intensywno</w:t>
      </w:r>
      <w:r>
        <w:rPr>
          <w:rStyle w:val="Hyperlink.0"/>
          <w:rtl w:val="0"/>
        </w:rPr>
        <w:t xml:space="preserve">ść </w:t>
      </w:r>
      <w:r>
        <w:rPr>
          <w:rStyle w:val="Hyperlink.0"/>
          <w:rtl w:val="0"/>
        </w:rPr>
        <w:t>wsparcia zale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y od typu projektu. Pe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ne dofinansowanie w 100% mo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na uzyska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na projekty typu RIA, natomiast projekty z obszaru IA mog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otrzyma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wsparcie na poziomie od 100 % do 70% koszt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kwalifikowalnych projektu.</w:t>
      </w: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Style w:val="Brak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Brak"/>
          <w:rFonts w:ascii="Calibri" w:hAnsi="Calibri"/>
          <w:b w:val="1"/>
          <w:bCs w:val="1"/>
          <w:sz w:val="22"/>
          <w:szCs w:val="22"/>
          <w:rtl w:val="0"/>
        </w:rPr>
        <w:t>Kryteria oceny wniosk</w:t>
      </w:r>
      <w:r>
        <w:rPr>
          <w:rStyle w:val="Brak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sz w:val="22"/>
          <w:szCs w:val="22"/>
          <w:rtl w:val="0"/>
        </w:rPr>
        <w:t>w</w:t>
      </w: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rtl w:val="0"/>
        </w:rPr>
        <w:t>Projekty oceniane s</w:t>
      </w:r>
      <w:r>
        <w:rPr>
          <w:rStyle w:val="Brak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rtl w:val="0"/>
          <w:lang w:val="en-US"/>
        </w:rPr>
        <w:t>wed</w:t>
      </w:r>
      <w:r>
        <w:rPr>
          <w:rStyle w:val="Brak"/>
          <w:rFonts w:ascii="Calibri" w:hAnsi="Calibri" w:hint="default"/>
          <w:sz w:val="22"/>
          <w:szCs w:val="22"/>
          <w:rtl w:val="0"/>
        </w:rPr>
        <w:t>ł</w:t>
      </w:r>
      <w:r>
        <w:rPr>
          <w:rStyle w:val="Brak"/>
          <w:rFonts w:ascii="Calibri" w:hAnsi="Calibri"/>
          <w:sz w:val="22"/>
          <w:szCs w:val="22"/>
          <w:rtl w:val="0"/>
        </w:rPr>
        <w:t>ug 3 kryteri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w:</w:t>
      </w:r>
    </w:p>
    <w:p>
      <w:pPr>
        <w:pStyle w:val="Normal.0"/>
        <w:shd w:val="clear" w:color="auto" w:fill="fcfbfc"/>
        <w:suppressAutoHyphens w:val="1"/>
        <w:spacing w:after="0" w:line="240" w:lineRule="auto"/>
        <w:jc w:val="both"/>
      </w:pPr>
      <w:r>
        <w:rPr>
          <w:rStyle w:val="Brak"/>
          <w:i w:val="1"/>
          <w:iCs w:val="1"/>
          <w:rtl w:val="0"/>
        </w:rPr>
        <w:t xml:space="preserve">– </w:t>
      </w:r>
      <w:r>
        <w:rPr>
          <w:rStyle w:val="Brak"/>
          <w:i w:val="1"/>
          <w:iCs w:val="1"/>
          <w:rtl w:val="0"/>
          <w:lang w:val="fr-FR"/>
        </w:rPr>
        <w:t>excellence</w:t>
      </w:r>
      <w:r>
        <w:rPr>
          <w:rStyle w:val="Hyperlink.0"/>
          <w:rtl w:val="0"/>
        </w:rPr>
        <w:t xml:space="preserve"> – </w:t>
      </w:r>
      <w:r>
        <w:rPr>
          <w:rStyle w:val="Hyperlink.0"/>
          <w:rtl w:val="0"/>
        </w:rPr>
        <w:t>stopie</w:t>
      </w:r>
      <w:r>
        <w:rPr>
          <w:rStyle w:val="Hyperlink.0"/>
          <w:rtl w:val="0"/>
        </w:rPr>
        <w:t xml:space="preserve">ń </w:t>
      </w:r>
      <w:r>
        <w:rPr>
          <w:rStyle w:val="Hyperlink.0"/>
          <w:rtl w:val="0"/>
        </w:rPr>
        <w:t>w jakim nowo</w:t>
      </w:r>
      <w:r>
        <w:rPr>
          <w:rStyle w:val="Hyperlink.0"/>
          <w:rtl w:val="0"/>
        </w:rPr>
        <w:t xml:space="preserve">ść </w:t>
      </w:r>
      <w:r>
        <w:rPr>
          <w:rStyle w:val="Hyperlink.0"/>
          <w:rtl w:val="0"/>
        </w:rPr>
        <w:t>rozwi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zania wykracza poza obecny stan wiedzy i w jakim rezultat rozwi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zuje potrzeby rynku;</w:t>
      </w:r>
    </w:p>
    <w:p>
      <w:pPr>
        <w:pStyle w:val="Normal.0"/>
        <w:shd w:val="clear" w:color="auto" w:fill="fcfbfc"/>
        <w:suppressAutoHyphens w:val="1"/>
        <w:spacing w:after="0" w:line="240" w:lineRule="auto"/>
        <w:jc w:val="both"/>
      </w:pPr>
      <w:r>
        <w:rPr>
          <w:rStyle w:val="Hyperlink.0"/>
          <w:rtl w:val="0"/>
        </w:rPr>
        <w:t xml:space="preserve">– </w:t>
      </w:r>
      <w:r>
        <w:rPr>
          <w:rStyle w:val="Brak"/>
          <w:i w:val="1"/>
          <w:iCs w:val="1"/>
          <w:rtl w:val="0"/>
          <w:lang w:val="en-US"/>
        </w:rPr>
        <w:t>impact</w:t>
      </w:r>
      <w:r>
        <w:rPr>
          <w:rStyle w:val="Hyperlink.0"/>
          <w:rtl w:val="0"/>
        </w:rPr>
        <w:t xml:space="preserve"> – </w:t>
      </w:r>
      <w:r>
        <w:rPr>
          <w:rStyle w:val="Hyperlink.0"/>
          <w:rtl w:val="0"/>
        </w:rPr>
        <w:t>potencja</w:t>
      </w:r>
      <w:r>
        <w:rPr>
          <w:rStyle w:val="Hyperlink.0"/>
          <w:rtl w:val="0"/>
        </w:rPr>
        <w:t xml:space="preserve">ł </w:t>
      </w:r>
      <w:r>
        <w:rPr>
          <w:rStyle w:val="Hyperlink.0"/>
          <w:rtl w:val="0"/>
        </w:rPr>
        <w:t>osi</w:t>
      </w:r>
      <w:r>
        <w:rPr>
          <w:rStyle w:val="Hyperlink.0"/>
          <w:rtl w:val="0"/>
        </w:rPr>
        <w:t>ą</w:t>
      </w:r>
      <w:r>
        <w:rPr>
          <w:rStyle w:val="Hyperlink.0"/>
          <w:rtl w:val="0"/>
          <w:lang w:val="it-IT"/>
        </w:rPr>
        <w:t>gni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cia oczekiwanych rezultat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oraz potencja</w:t>
      </w:r>
      <w:r>
        <w:rPr>
          <w:rStyle w:val="Hyperlink.0"/>
          <w:rtl w:val="0"/>
        </w:rPr>
        <w:t xml:space="preserve">ł </w:t>
      </w:r>
      <w:r>
        <w:rPr>
          <w:rStyle w:val="Hyperlink.0"/>
          <w:rtl w:val="0"/>
        </w:rPr>
        <w:t>skalowania innowacji, w tym wp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yw na rozw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j nowych rynk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i przedsi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biorstw;</w:t>
      </w:r>
    </w:p>
    <w:p>
      <w:pPr>
        <w:pStyle w:val="Normal.0"/>
        <w:shd w:val="clear" w:color="auto" w:fill="fcfbfc"/>
        <w:suppressAutoHyphens w:val="1"/>
        <w:spacing w:after="0" w:line="240" w:lineRule="auto"/>
        <w:jc w:val="both"/>
      </w:pPr>
      <w:r>
        <w:rPr>
          <w:rStyle w:val="Hyperlink.0"/>
          <w:rtl w:val="0"/>
        </w:rPr>
        <w:t xml:space="preserve">– </w:t>
      </w:r>
      <w:r>
        <w:rPr>
          <w:rStyle w:val="Brak"/>
          <w:i w:val="1"/>
          <w:iCs w:val="1"/>
          <w:rtl w:val="0"/>
          <w:lang w:val="en-US"/>
        </w:rPr>
        <w:t>quality and efficiency of the implementation</w:t>
      </w:r>
      <w:r>
        <w:rPr>
          <w:rStyle w:val="Hyperlink.0"/>
          <w:rtl w:val="0"/>
        </w:rPr>
        <w:t xml:space="preserve"> – </w:t>
      </w:r>
      <w:r>
        <w:rPr>
          <w:rStyle w:val="Hyperlink.0"/>
          <w:rtl w:val="0"/>
        </w:rPr>
        <w:t>w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a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ciwe zdefiniowanie r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l konsorcjant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i cz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onk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zespo</w:t>
      </w:r>
      <w:r>
        <w:rPr>
          <w:rStyle w:val="Hyperlink.0"/>
          <w:rtl w:val="0"/>
        </w:rPr>
        <w:t>łó</w:t>
      </w:r>
      <w:r>
        <w:rPr>
          <w:rStyle w:val="Hyperlink.0"/>
          <w:rtl w:val="0"/>
        </w:rPr>
        <w:t>w w projekcie, poprawna ocena ryzyka. Ocenie podlega czy konsorcjum posiada zdolno</w:t>
      </w:r>
      <w:r>
        <w:rPr>
          <w:rStyle w:val="Hyperlink.0"/>
          <w:rtl w:val="0"/>
        </w:rPr>
        <w:t>ś</w:t>
      </w:r>
      <w:r>
        <w:rPr>
          <w:rStyle w:val="Hyperlink.0"/>
          <w:rtl w:val="0"/>
          <w:lang w:val="it-IT"/>
        </w:rPr>
        <w:t xml:space="preserve">ci </w:t>
      </w:r>
      <w:r>
        <w:rPr>
          <w:rStyle w:val="Hyperlink.0"/>
        </w:rPr>
        <w:br w:type="textWrapping"/>
      </w:r>
      <w:r>
        <w:rPr>
          <w:rStyle w:val="Hyperlink.0"/>
          <w:rtl w:val="0"/>
        </w:rPr>
        <w:t>i wiedz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niezb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dn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do realizacji projektu.</w:t>
      </w:r>
    </w:p>
    <w:p>
      <w:pPr>
        <w:pStyle w:val="Normal.0"/>
        <w:shd w:val="clear" w:color="auto" w:fill="fcfbfc"/>
        <w:suppressAutoHyphens w:val="1"/>
        <w:spacing w:after="0" w:line="240" w:lineRule="auto"/>
        <w:jc w:val="both"/>
      </w:pP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rtl w:val="0"/>
        </w:rPr>
        <w:t>Ocena wniosk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 przez ekspert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 trwa 5 miesi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>cy, a podpisanie um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 o dofinansowanie 8 miesi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>cy (liczone od zako</w:t>
      </w:r>
      <w:r>
        <w:rPr>
          <w:rStyle w:val="Brak"/>
          <w:rFonts w:ascii="Calibri" w:hAnsi="Calibri" w:hint="default"/>
          <w:sz w:val="22"/>
          <w:szCs w:val="22"/>
          <w:rtl w:val="0"/>
        </w:rPr>
        <w:t>ń</w:t>
      </w:r>
      <w:r>
        <w:rPr>
          <w:rStyle w:val="Brak"/>
          <w:rFonts w:ascii="Calibri" w:hAnsi="Calibri"/>
          <w:sz w:val="22"/>
          <w:szCs w:val="22"/>
          <w:rtl w:val="0"/>
        </w:rPr>
        <w:t>czenia terminu na sk</w:t>
      </w:r>
      <w:r>
        <w:rPr>
          <w:rStyle w:val="Brak"/>
          <w:rFonts w:ascii="Calibri" w:hAnsi="Calibri" w:hint="default"/>
          <w:sz w:val="22"/>
          <w:szCs w:val="22"/>
          <w:rtl w:val="0"/>
        </w:rPr>
        <w:t>ł</w:t>
      </w:r>
      <w:r>
        <w:rPr>
          <w:rStyle w:val="Brak"/>
          <w:rFonts w:ascii="Calibri" w:hAnsi="Calibri"/>
          <w:sz w:val="22"/>
          <w:szCs w:val="22"/>
          <w:rtl w:val="0"/>
        </w:rPr>
        <w:t>adanie wniosk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w). Dla nabor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 dwuetapowych (r</w:t>
      </w:r>
      <w:r>
        <w:rPr>
          <w:rStyle w:val="Brak"/>
          <w:rFonts w:ascii="Calibri" w:hAnsi="Calibri" w:hint="default"/>
          <w:sz w:val="22"/>
          <w:szCs w:val="22"/>
          <w:rtl w:val="0"/>
        </w:rPr>
        <w:t>óż</w:t>
      </w:r>
      <w:r>
        <w:rPr>
          <w:rStyle w:val="Brak"/>
          <w:rFonts w:ascii="Calibri" w:hAnsi="Calibri"/>
          <w:sz w:val="22"/>
          <w:szCs w:val="22"/>
          <w:rtl w:val="0"/>
        </w:rPr>
        <w:t>ni</w:t>
      </w:r>
      <w:r>
        <w:rPr>
          <w:rStyle w:val="Brak"/>
          <w:rFonts w:ascii="Calibri" w:hAnsi="Calibri" w:hint="default"/>
          <w:sz w:val="22"/>
          <w:szCs w:val="22"/>
          <w:rtl w:val="0"/>
        </w:rPr>
        <w:t>ą</w:t>
      </w:r>
      <w:r>
        <w:rPr>
          <w:rStyle w:val="Brak"/>
          <w:rFonts w:ascii="Calibri" w:hAnsi="Calibri"/>
          <w:sz w:val="22"/>
          <w:szCs w:val="22"/>
          <w:rtl w:val="0"/>
        </w:rPr>
        <w:t>cych si</w:t>
      </w:r>
      <w:r>
        <w:rPr>
          <w:rStyle w:val="Brak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"/>
          <w:rFonts w:ascii="Calibri" w:hAnsi="Calibri"/>
          <w:sz w:val="22"/>
          <w:szCs w:val="22"/>
          <w:rtl w:val="0"/>
        </w:rPr>
        <w:t>sposobem oceny projekt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w) ewaluacja pierwszego stopnia trwa 3 miesi</w:t>
      </w:r>
      <w:r>
        <w:rPr>
          <w:rStyle w:val="Brak"/>
          <w:rFonts w:ascii="Calibri" w:hAnsi="Calibri" w:hint="default"/>
          <w:sz w:val="22"/>
          <w:szCs w:val="22"/>
          <w:rtl w:val="0"/>
        </w:rPr>
        <w:t>ą</w:t>
      </w:r>
      <w:r>
        <w:rPr>
          <w:rStyle w:val="Brak"/>
          <w:rFonts w:ascii="Calibri" w:hAnsi="Calibri"/>
          <w:sz w:val="22"/>
          <w:szCs w:val="22"/>
          <w:rtl w:val="0"/>
        </w:rPr>
        <w:t>ce, drugiego 5 miesi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 xml:space="preserve">cy, </w:t>
      </w:r>
      <w:r>
        <w:rPr>
          <w:rStyle w:val="Brak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Brak"/>
          <w:rFonts w:ascii="Calibri" w:hAnsi="Calibri"/>
          <w:sz w:val="22"/>
          <w:szCs w:val="22"/>
          <w:rtl w:val="0"/>
        </w:rPr>
        <w:t>a podpisanie umowy nast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>puje w ci</w:t>
      </w:r>
      <w:r>
        <w:rPr>
          <w:rStyle w:val="Brak"/>
          <w:rFonts w:ascii="Calibri" w:hAnsi="Calibri" w:hint="default"/>
          <w:sz w:val="22"/>
          <w:szCs w:val="22"/>
          <w:rtl w:val="0"/>
        </w:rPr>
        <w:t>ą</w:t>
      </w:r>
      <w:r>
        <w:rPr>
          <w:rStyle w:val="Brak"/>
          <w:rFonts w:ascii="Calibri" w:hAnsi="Calibri"/>
          <w:sz w:val="22"/>
          <w:szCs w:val="22"/>
          <w:rtl w:val="0"/>
        </w:rPr>
        <w:t>gu 8 miesi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>cy od zako</w:t>
      </w:r>
      <w:r>
        <w:rPr>
          <w:rStyle w:val="Brak"/>
          <w:rFonts w:ascii="Calibri" w:hAnsi="Calibri" w:hint="default"/>
          <w:sz w:val="22"/>
          <w:szCs w:val="22"/>
          <w:rtl w:val="0"/>
        </w:rPr>
        <w:t>ń</w:t>
      </w:r>
      <w:r>
        <w:rPr>
          <w:rStyle w:val="Brak"/>
          <w:rFonts w:ascii="Calibri" w:hAnsi="Calibri"/>
          <w:sz w:val="22"/>
          <w:szCs w:val="22"/>
          <w:rtl w:val="0"/>
        </w:rPr>
        <w:t>czenia naboru.</w:t>
      </w:r>
    </w:p>
    <w:p>
      <w:pPr>
        <w:pStyle w:val="Normal (Web)"/>
        <w:shd w:val="clear" w:color="auto" w:fill="fcfbfc"/>
        <w:suppressAutoHyphens w:val="1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</w:p>
    <w:p>
      <w:pPr>
        <w:pStyle w:val="Normal (Web)"/>
        <w:shd w:val="clear" w:color="auto" w:fill="fcfbfc"/>
        <w:suppressAutoHyphens w:val="1"/>
        <w:spacing w:before="0" w:after="0"/>
        <w:jc w:val="both"/>
      </w:pPr>
      <w:r>
        <w:rPr>
          <w:rStyle w:val="Brak"/>
          <w:rFonts w:ascii="Calibri" w:hAnsi="Calibri"/>
          <w:sz w:val="22"/>
          <w:szCs w:val="22"/>
          <w:rtl w:val="0"/>
          <w:lang w:val="de-DE"/>
        </w:rPr>
        <w:t>W</w:t>
      </w:r>
      <w:r>
        <w:rPr>
          <w:rStyle w:val="Brak"/>
          <w:rFonts w:ascii="Calibri" w:hAnsi="Calibri" w:hint="default"/>
          <w:sz w:val="22"/>
          <w:szCs w:val="22"/>
          <w:rtl w:val="0"/>
        </w:rPr>
        <w:t>ś</w:t>
      </w:r>
      <w:r>
        <w:rPr>
          <w:rStyle w:val="Brak"/>
          <w:rFonts w:ascii="Calibri" w:hAnsi="Calibri"/>
          <w:sz w:val="22"/>
          <w:szCs w:val="22"/>
          <w:rtl w:val="0"/>
        </w:rPr>
        <w:t>r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d polskich przedsi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>biorstw od zawsze dominowa</w:t>
      </w:r>
      <w:r>
        <w:rPr>
          <w:rStyle w:val="Brak"/>
          <w:rFonts w:ascii="Calibri" w:hAnsi="Calibri" w:hint="default"/>
          <w:sz w:val="22"/>
          <w:szCs w:val="22"/>
          <w:rtl w:val="0"/>
        </w:rPr>
        <w:t>ł</w:t>
      </w:r>
      <w:r>
        <w:rPr>
          <w:rStyle w:val="Brak"/>
          <w:rFonts w:ascii="Calibri" w:hAnsi="Calibri"/>
          <w:sz w:val="22"/>
          <w:szCs w:val="22"/>
          <w:rtl w:val="0"/>
        </w:rPr>
        <w:t>o przekonanie o z</w:t>
      </w:r>
      <w:r>
        <w:rPr>
          <w:rStyle w:val="Brak"/>
          <w:rFonts w:ascii="Calibri" w:hAnsi="Calibri" w:hint="default"/>
          <w:sz w:val="22"/>
          <w:szCs w:val="22"/>
          <w:rtl w:val="0"/>
        </w:rPr>
        <w:t>ł</w:t>
      </w:r>
      <w:r>
        <w:rPr>
          <w:rStyle w:val="Brak"/>
          <w:rFonts w:ascii="Calibri" w:hAnsi="Calibri"/>
          <w:sz w:val="22"/>
          <w:szCs w:val="22"/>
          <w:rtl w:val="0"/>
        </w:rPr>
        <w:t>o</w:t>
      </w:r>
      <w:r>
        <w:rPr>
          <w:rStyle w:val="Brak"/>
          <w:rFonts w:ascii="Calibri" w:hAnsi="Calibri" w:hint="default"/>
          <w:sz w:val="22"/>
          <w:szCs w:val="22"/>
          <w:rtl w:val="0"/>
        </w:rPr>
        <w:t>ż</w:t>
      </w:r>
      <w:r>
        <w:rPr>
          <w:rStyle w:val="Brak"/>
          <w:rFonts w:ascii="Calibri" w:hAnsi="Calibri"/>
          <w:sz w:val="22"/>
          <w:szCs w:val="22"/>
          <w:rtl w:val="0"/>
          <w:lang w:val="it-IT"/>
        </w:rPr>
        <w:t>ono</w:t>
      </w:r>
      <w:r>
        <w:rPr>
          <w:rStyle w:val="Brak"/>
          <w:rFonts w:ascii="Calibri" w:hAnsi="Calibri" w:hint="default"/>
          <w:sz w:val="22"/>
          <w:szCs w:val="22"/>
          <w:rtl w:val="0"/>
        </w:rPr>
        <w:t>ś</w:t>
      </w:r>
      <w:r>
        <w:rPr>
          <w:rStyle w:val="Brak"/>
          <w:rFonts w:ascii="Calibri" w:hAnsi="Calibri"/>
          <w:sz w:val="22"/>
          <w:szCs w:val="22"/>
          <w:rtl w:val="0"/>
        </w:rPr>
        <w:t>ci i wysokim stopniu skomplikowania konkurs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 mi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>dzynarodowych. Program Horyzont Europa wyznacza nowy standard zar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>wno w kontek</w:t>
      </w:r>
      <w:r>
        <w:rPr>
          <w:rStyle w:val="Brak"/>
          <w:rFonts w:ascii="Calibri" w:hAnsi="Calibri" w:hint="default"/>
          <w:sz w:val="22"/>
          <w:szCs w:val="22"/>
          <w:rtl w:val="0"/>
        </w:rPr>
        <w:t>ś</w:t>
      </w:r>
      <w:r>
        <w:rPr>
          <w:rStyle w:val="Brak"/>
          <w:rFonts w:ascii="Calibri" w:hAnsi="Calibri"/>
          <w:sz w:val="22"/>
          <w:szCs w:val="22"/>
          <w:rtl w:val="0"/>
        </w:rPr>
        <w:t>cie prostoty procesu aplikowania, atrakcyjno</w:t>
      </w:r>
      <w:r>
        <w:rPr>
          <w:rStyle w:val="Brak"/>
          <w:rFonts w:ascii="Calibri" w:hAnsi="Calibri" w:hint="default"/>
          <w:sz w:val="22"/>
          <w:szCs w:val="22"/>
          <w:rtl w:val="0"/>
        </w:rPr>
        <w:t>ś</w:t>
      </w:r>
      <w:r>
        <w:rPr>
          <w:rStyle w:val="Brak"/>
          <w:rFonts w:ascii="Calibri" w:hAnsi="Calibri"/>
          <w:sz w:val="22"/>
          <w:szCs w:val="22"/>
          <w:rtl w:val="0"/>
        </w:rPr>
        <w:t>ci finansowania, r</w:t>
      </w:r>
      <w:r>
        <w:rPr>
          <w:rStyle w:val="Brak"/>
          <w:rFonts w:ascii="Calibri" w:hAnsi="Calibri" w:hint="default"/>
          <w:sz w:val="22"/>
          <w:szCs w:val="22"/>
          <w:rtl w:val="0"/>
        </w:rPr>
        <w:t>óż</w:t>
      </w:r>
      <w:r>
        <w:rPr>
          <w:rStyle w:val="Brak"/>
          <w:rFonts w:ascii="Calibri" w:hAnsi="Calibri"/>
          <w:sz w:val="22"/>
          <w:szCs w:val="22"/>
          <w:rtl w:val="0"/>
        </w:rPr>
        <w:t>norodno</w:t>
      </w:r>
      <w:r>
        <w:rPr>
          <w:rStyle w:val="Brak"/>
          <w:rFonts w:ascii="Calibri" w:hAnsi="Calibri" w:hint="default"/>
          <w:sz w:val="22"/>
          <w:szCs w:val="22"/>
          <w:rtl w:val="0"/>
        </w:rPr>
        <w:t>ś</w:t>
      </w:r>
      <w:r>
        <w:rPr>
          <w:rStyle w:val="Brak"/>
          <w:rFonts w:ascii="Calibri" w:hAnsi="Calibri"/>
          <w:sz w:val="22"/>
          <w:szCs w:val="22"/>
          <w:rtl w:val="0"/>
        </w:rPr>
        <w:t>ci dziedzin obj</w:t>
      </w:r>
      <w:r>
        <w:rPr>
          <w:rStyle w:val="Brak"/>
          <w:rFonts w:ascii="Calibri" w:hAnsi="Calibri" w:hint="default"/>
          <w:sz w:val="22"/>
          <w:szCs w:val="22"/>
          <w:rtl w:val="0"/>
        </w:rPr>
        <w:t>ę</w:t>
      </w:r>
      <w:r>
        <w:rPr>
          <w:rStyle w:val="Brak"/>
          <w:rFonts w:ascii="Calibri" w:hAnsi="Calibri"/>
          <w:sz w:val="22"/>
          <w:szCs w:val="22"/>
          <w:rtl w:val="0"/>
        </w:rPr>
        <w:t>tych programem oraz przejrzystych kryteri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</w:rPr>
        <w:t xml:space="preserve">w oceny. 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W CBRTP mamy tego 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wiadomo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 xml:space="preserve">ść 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 od wielu miesi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cy budujemy pipeline projekt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w dla klient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w z sektora du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ż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ych przedsi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biorstw i M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P w modelu konsorcj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w mi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dzynarodowych. Wysi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ek zwi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ą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zany z aplikacj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 xml:space="preserve">ą 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 organizacj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 xml:space="preserve">ą 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partner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w ust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puje szeregowi korzy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ci, kt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en-US"/>
        </w:rPr>
        <w:t>re mo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>ż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na otrzyma</w:t>
      </w:r>
      <w:r>
        <w:rPr>
          <w:rStyle w:val="Brak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</w:rPr>
        <w:t xml:space="preserve">ć </w:t>
      </w:r>
      <w:r>
        <w:rPr>
          <w:rStyle w:val="Brak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w zamian</w:t>
      </w:r>
      <w:r>
        <w:rPr>
          <w:rStyle w:val="Brak"/>
          <w:rFonts w:ascii="Calibri" w:hAnsi="Calibri" w:hint="default"/>
          <w:b w:val="1"/>
          <w:bCs w:val="1"/>
          <w:sz w:val="22"/>
          <w:szCs w:val="22"/>
          <w:rtl w:val="0"/>
        </w:rPr>
        <w:t xml:space="preserve"> – </w:t>
      </w:r>
      <w:r>
        <w:rPr>
          <w:rStyle w:val="Brak"/>
          <w:rFonts w:ascii="Calibri" w:hAnsi="Calibri"/>
          <w:b w:val="1"/>
          <w:bCs w:val="1"/>
          <w:sz w:val="22"/>
          <w:szCs w:val="22"/>
          <w:rtl w:val="0"/>
        </w:rPr>
        <w:t>wskazuje Laura Kloch Starszy konsultant ds. projekt</w:t>
      </w:r>
      <w:r>
        <w:rPr>
          <w:rStyle w:val="Brak"/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sz w:val="22"/>
          <w:szCs w:val="22"/>
          <w:rtl w:val="0"/>
        </w:rPr>
        <w:t xml:space="preserve">w UE z CBRTP.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shd w:val="clear" w:color="auto" w:fill="ffffff"/>
          <w:vertAlign w:val="superscript"/>
        </w:rPr>
        <w:footnoteRef/>
      </w:r>
      <w:r>
        <w:rPr>
          <w:sz w:val="16"/>
          <w:szCs w:val="16"/>
          <w:rtl w:val="0"/>
          <w:lang w:val="en-US"/>
        </w:rPr>
        <w:t xml:space="preserve"> https://ec.europa.eu/info/funding-tenders/opportunities/portal/screen/home</w:t>
      </w:r>
    </w:p>
  </w:footnote>
  <w:footnote w:id="2">
    <w:p>
      <w:pPr>
        <w:pStyle w:val="footnote text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6"/>
          <w:szCs w:val="16"/>
          <w:rtl w:val="0"/>
        </w:rPr>
        <w:t xml:space="preserve"> https://www.kpk.gov.pl/horyzont-europa/klastry/zdrowie</w:t>
      </w:r>
    </w:p>
  </w:footnote>
  <w:footnote w:id="3">
    <w:p>
      <w:pPr>
        <w:pStyle w:val="footnote text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6"/>
          <w:szCs w:val="16"/>
          <w:rtl w:val="0"/>
        </w:rPr>
        <w:t xml:space="preserve"> https://www.kpk.gov.pl/horyzont-europa/klastry/kultura</w:t>
      </w:r>
    </w:p>
  </w:footnote>
  <w:footnote w:id="4">
    <w:p>
      <w:pPr>
        <w:pStyle w:val="footnote text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6"/>
          <w:szCs w:val="16"/>
          <w:rtl w:val="0"/>
        </w:rPr>
        <w:t xml:space="preserve"> https://www.kpk.gov.pl/horyzont-europa/klastry/digital-industry-space</w:t>
      </w:r>
    </w:p>
  </w:footnote>
  <w:footnote w:id="5">
    <w:p>
      <w:pPr>
        <w:pStyle w:val="footnote text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6"/>
          <w:szCs w:val="16"/>
          <w:rtl w:val="0"/>
        </w:rPr>
        <w:t xml:space="preserve"> https://www.kpk.gov.pl/horyzont-europa/klastry/civil-security</w:t>
      </w:r>
    </w:p>
  </w:footnote>
  <w:footnote w:id="6">
    <w:p>
      <w:pPr>
        <w:pStyle w:val="footnote text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6"/>
          <w:szCs w:val="16"/>
          <w:rtl w:val="0"/>
        </w:rPr>
        <w:t xml:space="preserve"> https://www.kpk.gov.pl/horyzont-europa/klastry/klimat-energia-mobilnosc</w:t>
      </w:r>
    </w:p>
  </w:footnote>
  <w:footnote w:id="7">
    <w:p>
      <w:pPr>
        <w:pStyle w:val="footnote text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6"/>
          <w:szCs w:val="16"/>
          <w:rtl w:val="0"/>
        </w:rPr>
        <w:t xml:space="preserve"> https://www.kpk.gov.pl/horyzont-europa/klastry/zywnosc-biogospodarka-zasoby-naturalne-rolnictwo-srodowisko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