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29" w:rsidRDefault="00DE5204" w:rsidP="00E028E4">
      <w:pPr>
        <w:pStyle w:val="Nagwek1"/>
        <w:jc w:val="both"/>
      </w:pPr>
      <w:r>
        <w:t>Ceny energii górę - w jaki sposób podreperować domowy budżet?</w:t>
      </w:r>
    </w:p>
    <w:p w:rsidR="00C46A29" w:rsidRDefault="00C46A29" w:rsidP="00E028E4">
      <w:pPr>
        <w:jc w:val="both"/>
      </w:pPr>
    </w:p>
    <w:p w:rsidR="00C46A29" w:rsidRDefault="00DE5204" w:rsidP="00E028E4">
      <w:pPr>
        <w:jc w:val="both"/>
        <w:rPr>
          <w:b/>
        </w:rPr>
      </w:pPr>
      <w:r>
        <w:rPr>
          <w:b/>
        </w:rPr>
        <w:t xml:space="preserve">Jak wynika ze statystycznego raportu Towarowej Giełdy Energii, najwyższe średnioważone ceny energii przypadają w szczycie wieczornym, tj. między godziną 19.00 a 23.00. Najniższe ceny energii </w:t>
      </w:r>
      <w:r>
        <w:rPr>
          <w:b/>
        </w:rPr>
        <w:t>notuje się w godzinach nocnych (1.00-6.00) oraz między godziną 11.00 a 16.00.</w:t>
      </w:r>
      <w:r>
        <w:rPr>
          <w:b/>
          <w:vertAlign w:val="superscript"/>
        </w:rPr>
        <w:footnoteReference w:id="1"/>
      </w:r>
      <w:r>
        <w:rPr>
          <w:b/>
        </w:rPr>
        <w:t xml:space="preserve"> Zależność ta wynika z zapotrzebowania na energię w skali dobowej. Im wyższe zapotrzebowanie, tym wyższa cena. W godzinach niskiego popytu cena spada. Dostawcy energii elektryczn</w:t>
      </w:r>
      <w:r>
        <w:rPr>
          <w:b/>
        </w:rPr>
        <w:t>ej starają się dostosowywać plany taryfowe uwzględniając popyt i możliwości wytwórcze, by zachęcić odbiorców do większego wykorzystania energii w godzinach pozaszczytowych. Nie zawsze jednak jest możliwość indywidualnego dopasowania taryfy, by obowiązujące</w:t>
      </w:r>
      <w:r>
        <w:rPr>
          <w:b/>
        </w:rPr>
        <w:t xml:space="preserve"> w niej przedziały godzinowe przyniosły korzyści finansowe u odbiorcy. Czy można z tym coś zrobić?</w:t>
      </w:r>
    </w:p>
    <w:p w:rsidR="00C46A29" w:rsidRDefault="00DE5204" w:rsidP="00E028E4">
      <w:pPr>
        <w:jc w:val="both"/>
      </w:pPr>
      <w:r>
        <w:t xml:space="preserve">A gdyby mieć możliwość magazynowania energii w okresie, gdy jest ona najtańsza, a użytkować w godzinach najwyższego zapotrzebowania? Biorąc pod uwagę, że na </w:t>
      </w:r>
      <w:r>
        <w:t>przestrzeni ostatnich dwóch lat cena za megawatogodzinę wzrosła czterokrotnie,</w:t>
      </w:r>
      <w:r>
        <w:rPr>
          <w:vertAlign w:val="superscript"/>
        </w:rPr>
        <w:t>1</w:t>
      </w:r>
      <w:r>
        <w:t xml:space="preserve"> takie rozwiązanie mogłoby przynieść spore oszczędności. </w:t>
      </w:r>
    </w:p>
    <w:p w:rsidR="00C46A29" w:rsidRDefault="00DE5204" w:rsidP="00E028E4">
      <w:pPr>
        <w:pStyle w:val="Nagwek2"/>
        <w:jc w:val="both"/>
      </w:pPr>
      <w:r>
        <w:t>Metody walki z drożejącą energią elektryczną</w:t>
      </w:r>
    </w:p>
    <w:p w:rsidR="00C46A29" w:rsidRDefault="00DE5204" w:rsidP="00E028E4">
      <w:pPr>
        <w:jc w:val="both"/>
      </w:pPr>
      <w:r>
        <w:t>Najpopularniejszą obecnie w Polsce metodą walki z wysokimi rachunkami za e</w:t>
      </w:r>
      <w:r>
        <w:t xml:space="preserve">nergię elektryczną jest montaż paneli fotowoltaicznych. Niestety od pierwszego kwietnia tego roku zaczął obowiązywać nowy system net-billing rozliczeń za energię z </w:t>
      </w:r>
      <w:proofErr w:type="spellStart"/>
      <w:r>
        <w:t>fotowoltaiki</w:t>
      </w:r>
      <w:proofErr w:type="spellEnd"/>
      <w:r>
        <w:t>. Jak można było się spodziewać jest on mniej korzystny dla prosumentów, niż dot</w:t>
      </w:r>
      <w:r>
        <w:t xml:space="preserve">ychczasowy system upustów. Zwrot za </w:t>
      </w:r>
      <w:proofErr w:type="spellStart"/>
      <w:r>
        <w:t>fotowoltaikę</w:t>
      </w:r>
      <w:proofErr w:type="spellEnd"/>
      <w:r>
        <w:t xml:space="preserve"> znacznie się wydłuży. Decydując się obecnie na panele fotowoltaiczne należy się kierować minimalizacją ilości energii kupowanej, a nie produkcją nadwyżki. </w:t>
      </w:r>
    </w:p>
    <w:p w:rsidR="00C46A29" w:rsidRDefault="00DE5204" w:rsidP="00E028E4">
      <w:pPr>
        <w:jc w:val="both"/>
      </w:pPr>
      <w:r>
        <w:rPr>
          <w:i/>
        </w:rPr>
        <w:t xml:space="preserve">– </w:t>
      </w:r>
      <w:r>
        <w:t>Właściciele paneli fotowoltaicznych nie zawsze są</w:t>
      </w:r>
      <w:r>
        <w:t xml:space="preserve"> w stanie w pełni wykorzystać na bieżąco produkowaną energię. Najwyższa skuteczność instalacji fotowoltaicznej przypada w godzinach, w których większość Polaków pracuje, a wytworzona energia, po niekorzystnym kursie cenowym oddawana jest do systemu elektro</w:t>
      </w:r>
      <w:r>
        <w:t>energetycznego. Można temu zapobiec i zmagazynować przy użyciu stacji ładowania energię wytworzoną w naszej elektrowni słonecznej. Tak zmagazynowana energia może zostać wykorzystana w szczycie cenowym lub w dowolnej porze, kiedy tylko zajdzie taka potrzeba</w:t>
      </w:r>
      <w:r>
        <w:rPr>
          <w:i/>
        </w:rPr>
        <w:t>.</w:t>
      </w:r>
      <w:r>
        <w:t xml:space="preserve"> – doradza </w:t>
      </w:r>
      <w:r w:rsidR="00827D26">
        <w:t xml:space="preserve">Robert </w:t>
      </w:r>
      <w:proofErr w:type="spellStart"/>
      <w:r w:rsidR="00827D26">
        <w:t>Ruczyński</w:t>
      </w:r>
      <w:proofErr w:type="spellEnd"/>
      <w:r>
        <w:t xml:space="preserve"> z </w:t>
      </w:r>
      <w:proofErr w:type="spellStart"/>
      <w:r>
        <w:t>EcoFlow</w:t>
      </w:r>
      <w:proofErr w:type="spellEnd"/>
      <w:r>
        <w:t>.</w:t>
      </w:r>
    </w:p>
    <w:p w:rsidR="00C46A29" w:rsidRDefault="00DE5204" w:rsidP="00E028E4">
      <w:pPr>
        <w:pStyle w:val="Nagwek2"/>
        <w:jc w:val="both"/>
      </w:pPr>
      <w:r>
        <w:t>Tańszy prąd na wyciągnięcie ręki</w:t>
      </w:r>
    </w:p>
    <w:p w:rsidR="00C46A29" w:rsidRDefault="00DE5204" w:rsidP="00E028E4">
      <w:pPr>
        <w:jc w:val="both"/>
      </w:pPr>
      <w:r>
        <w:t xml:space="preserve">Zaproponowane rozwiązanie przyniesie korzyści finansowe nie tylko dla osób rozliczających energię z </w:t>
      </w:r>
      <w:proofErr w:type="spellStart"/>
      <w:r>
        <w:t>fotowoltaiki</w:t>
      </w:r>
      <w:proofErr w:type="spellEnd"/>
      <w:r>
        <w:t xml:space="preserve"> na nowych zasadach. Osoby, które posiadają panele fotowoltaiczne i roz</w:t>
      </w:r>
      <w:r>
        <w:t xml:space="preserve">liczają się na dotychczasowych warunkach także skorzystają na zakupie stacji zasilania. Wynika to z faktu, że cena za energię w szczycie zawsze jest większa niż ekwiwalent, który otrzymuje się za energię oddaną z paneli do sieci. </w:t>
      </w:r>
    </w:p>
    <w:p w:rsidR="00C46A29" w:rsidRDefault="00DE5204" w:rsidP="00E028E4">
      <w:pPr>
        <w:jc w:val="both"/>
      </w:pPr>
      <w:r>
        <w:t xml:space="preserve">Dla osób, które nie mają </w:t>
      </w:r>
      <w:r>
        <w:t>paneli fotowoltaicznych, nie planują ich instalacji albo nie mają takiej możliwości, bo ogranicza ich miejsce lub mieszkają w bloku, również istnieje rozwiązanie. Skoro energia elektryczna tańsza jest w nocy, warto pomyśleć o jej zmagazynowaniu. Jak to zro</w:t>
      </w:r>
      <w:r>
        <w:t>bić? Bardzo prosto. Wystarczy przenośną stację zasilania podłączyć do ładowania w nocy, a zmagazynowaną energię wykorzystać wtedy, gdy jest to potrzebne. I w ten sposób energię zakupioną w taryfie nocnej, po niższej cenie, można wykorzystać w godzinach szc</w:t>
      </w:r>
      <w:r>
        <w:t xml:space="preserve">zytu, gdy kilowatogodzina kosztuje najwięcej. </w:t>
      </w:r>
    </w:p>
    <w:p w:rsidR="00C46A29" w:rsidRDefault="00DE5204" w:rsidP="00E028E4">
      <w:pPr>
        <w:pStyle w:val="Nagwek2"/>
        <w:jc w:val="both"/>
      </w:pPr>
      <w:r>
        <w:lastRenderedPageBreak/>
        <w:t xml:space="preserve">Dodatkowe wsparcie inteligentnej </w:t>
      </w:r>
      <w:proofErr w:type="spellStart"/>
      <w:r>
        <w:t>ekoinstalacji</w:t>
      </w:r>
      <w:proofErr w:type="spellEnd"/>
    </w:p>
    <w:p w:rsidR="00C46A29" w:rsidRDefault="00DE5204" w:rsidP="00E028E4">
      <w:pPr>
        <w:jc w:val="both"/>
      </w:pPr>
      <w:r>
        <w:t xml:space="preserve">Mogą pojawić się obawy, w jaki sposób użytkować stację. Czy jej wykorzystanie nie jest kłopotliwe? Czy obsługa stacji wiąże się z uciążliwymi czynnościami? </w:t>
      </w:r>
      <w:r w:rsidR="00DE571F">
        <w:t xml:space="preserve">Robert </w:t>
      </w:r>
      <w:proofErr w:type="spellStart"/>
      <w:r w:rsidR="00DE571F">
        <w:t>Ruczyński</w:t>
      </w:r>
      <w:proofErr w:type="spellEnd"/>
      <w:r>
        <w:t xml:space="preserve"> rozwiewa wątpliwości –</w:t>
      </w:r>
      <w:r w:rsidRPr="00DE571F">
        <w:t xml:space="preserve">Kontrolę nad urządzeniem można sprawować dzięki darmowej aplikacji, która umożliwia monitoring zużycia energii w czasie rzeczywistym, zmianę ustawień, optymalizację zasilania czy wybór źródła energii, z jakiego urządzenia </w:t>
      </w:r>
      <w:r w:rsidRPr="00DE571F">
        <w:t xml:space="preserve">mają korzystać. Ponadto prywatną </w:t>
      </w:r>
      <w:proofErr w:type="spellStart"/>
      <w:r w:rsidRPr="00DE571F">
        <w:t>ekoinstalację</w:t>
      </w:r>
      <w:proofErr w:type="spellEnd"/>
      <w:r w:rsidRPr="00DE571F">
        <w:t xml:space="preserve"> można wyposażyć z panel sterujący, który integruje stacje zasilania z instalacją domową i panelami fotowoltaicznymi. Panel sterujący umożliwia jednoczesne ładowanie dwóch stacji zasilania, pozwala podłączyć do</w:t>
      </w:r>
      <w:r w:rsidRPr="00DE571F">
        <w:t xml:space="preserve"> stacji dodatkowe akumulatory, a także inteligentne generatory prądu. W efekcie można się cieszyć napięciem wyjściowym nawet 240V, mocą do 7200W i pojemnością sięgającą 25kWh. Do panelu sterującego można podłączyć nawet dziesięć obwodów instalacji domowej.</w:t>
      </w:r>
      <w:r w:rsidRPr="00DE571F">
        <w:t xml:space="preserve"> W przypadku awarii sieci zasilającej, w ciągu </w:t>
      </w:r>
      <w:sdt>
        <w:sdtPr>
          <w:tag w:val="goog_rdk_0"/>
          <w:id w:val="543035254"/>
        </w:sdtPr>
        <w:sdtContent/>
      </w:sdt>
      <w:r w:rsidR="00E028E4" w:rsidRPr="00DE571F">
        <w:t>3</w:t>
      </w:r>
      <w:r w:rsidRPr="00DE571F">
        <w:t>0ms, panel przełączy je na zasilanie awaryjne ze stacji.”</w:t>
      </w:r>
      <w:r>
        <w:rPr>
          <w:i/>
        </w:rPr>
        <w:t xml:space="preserve"> </w:t>
      </w:r>
      <w:r>
        <w:t>Jak widać codzienne użytkowanie stacji zasilającej współpracującej z domową instalacją i panelami fotowoltaicznymi nie wymaga wysiłku.</w:t>
      </w:r>
    </w:p>
    <w:p w:rsidR="00C46A29" w:rsidRDefault="00DE5204" w:rsidP="00E028E4">
      <w:pPr>
        <w:jc w:val="both"/>
      </w:pPr>
      <w:r>
        <w:t>Szereg korzyś</w:t>
      </w:r>
      <w:r>
        <w:t xml:space="preserve">ci płynących z zastosowania wskazanych rozwiązań to między innymi wytwarzanie ekoenergii i ekonomiczne jej wykorzystywanie w perspektywie dobowych taryf cenowych, co daje wymierne korzyści finansowe. </w:t>
      </w:r>
      <w:sdt>
        <w:sdtPr>
          <w:tag w:val="goog_rdk_1"/>
          <w:id w:val="2100059320"/>
        </w:sdtPr>
        <w:sdtContent/>
      </w:sdt>
      <w:r>
        <w:t>Wprawdzie rosnące koszty energii elektrycznej zatrważa</w:t>
      </w:r>
      <w:r>
        <w:t xml:space="preserve">ją, przyszłości nie da się przewidzieć, ale w pewnych aspektach można i warto się przygotować. </w:t>
      </w:r>
    </w:p>
    <w:sectPr w:rsidR="00C46A29" w:rsidSect="00340DF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204" w:rsidRDefault="00DE5204">
      <w:pPr>
        <w:spacing w:after="0" w:line="240" w:lineRule="auto"/>
      </w:pPr>
      <w:r>
        <w:separator/>
      </w:r>
    </w:p>
  </w:endnote>
  <w:endnote w:type="continuationSeparator" w:id="0">
    <w:p w:rsidR="00DE5204" w:rsidRDefault="00DE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204" w:rsidRDefault="00DE5204">
      <w:pPr>
        <w:spacing w:after="0" w:line="240" w:lineRule="auto"/>
      </w:pPr>
      <w:r>
        <w:separator/>
      </w:r>
    </w:p>
  </w:footnote>
  <w:footnote w:type="continuationSeparator" w:id="0">
    <w:p w:rsidR="00DE5204" w:rsidRDefault="00DE5204">
      <w:pPr>
        <w:spacing w:after="0" w:line="240" w:lineRule="auto"/>
      </w:pPr>
      <w:r>
        <w:continuationSeparator/>
      </w:r>
    </w:p>
  </w:footnote>
  <w:footnote w:id="1">
    <w:p w:rsidR="00C46A29" w:rsidRDefault="00DE5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tge.pl/dane-statystyczne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A29"/>
    <w:rsid w:val="00340DF6"/>
    <w:rsid w:val="00827D26"/>
    <w:rsid w:val="009D151D"/>
    <w:rsid w:val="00C46A29"/>
    <w:rsid w:val="00C661B7"/>
    <w:rsid w:val="00DE5204"/>
    <w:rsid w:val="00DE571F"/>
    <w:rsid w:val="00E00179"/>
    <w:rsid w:val="00E0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2D3"/>
  </w:style>
  <w:style w:type="paragraph" w:styleId="Nagwek1">
    <w:name w:val="heading 1"/>
    <w:basedOn w:val="Normalny"/>
    <w:next w:val="Normalny"/>
    <w:link w:val="Nagwek1Znak"/>
    <w:uiPriority w:val="9"/>
    <w:qFormat/>
    <w:rsid w:val="004D6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7C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340D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340D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340DF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340D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40D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340DF6"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B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B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B4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6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7C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uiPriority w:val="11"/>
    <w:qFormat/>
    <w:rsid w:val="00340D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DF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DF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AJ2FKNLFBKsxXGzONI4hmcwwkQ==">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2</cp:revision>
  <dcterms:created xsi:type="dcterms:W3CDTF">2022-07-27T12:05:00Z</dcterms:created>
  <dcterms:modified xsi:type="dcterms:W3CDTF">2022-07-27T12:05:00Z</dcterms:modified>
</cp:coreProperties>
</file>