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EBE2" w14:textId="77777777" w:rsidR="00722E2C" w:rsidRDefault="00722E2C" w:rsidP="00A8745D">
      <w:pPr>
        <w:spacing w:before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F5218D0" w14:textId="05933697" w:rsidR="00722E2C" w:rsidRPr="00A8745D" w:rsidRDefault="00722E2C" w:rsidP="00A8745D">
      <w:pPr>
        <w:spacing w:before="12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8745D">
        <w:rPr>
          <w:rFonts w:ascii="Calibri" w:eastAsia="Calibri" w:hAnsi="Calibri" w:cs="Calibri"/>
          <w:b/>
          <w:sz w:val="24"/>
          <w:szCs w:val="24"/>
        </w:rPr>
        <w:t>Edukacja szkolna i zaburzenia żywienia - dlaczego nie rozmawiamy o tym w szkole?</w:t>
      </w:r>
    </w:p>
    <w:p w14:paraId="62A80003" w14:textId="2C845D83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8745D">
        <w:rPr>
          <w:rFonts w:ascii="Calibri" w:eastAsia="Calibri" w:hAnsi="Calibri" w:cs="Calibri"/>
          <w:b/>
          <w:sz w:val="24"/>
          <w:szCs w:val="24"/>
        </w:rPr>
        <w:t xml:space="preserve">Dzieci oraz młodzież spędzają w szkole większą część każdego dnia w trakcie tzw. tygodnia roboczego. Jak wynika z danych: dzieci w edukacji wczesnoszkolnej uczą się ok. 20 godzin tygodniowo, ale już starsze dzieci w klasach od 4 – 8 spędzają ok. 16 godzin zegarowych tygodniowo. Dlatego można wskazać, że pewne rodzaje zachowania i zaburzenia, w tym również te w zakresie odżywiania, są widoczne nie tylko w domu, dla rodziców, ale również w szkole. </w:t>
      </w:r>
      <w:r w:rsidR="003D3444" w:rsidRPr="00A8745D">
        <w:rPr>
          <w:rFonts w:ascii="Calibri" w:eastAsia="Calibri" w:hAnsi="Calibri" w:cs="Calibri"/>
          <w:b/>
          <w:sz w:val="24"/>
          <w:szCs w:val="24"/>
        </w:rPr>
        <w:t>W jaki sposób szkoła może pomagać unikać albo rozpoznać zaburzenia odżywiania we wczesnym wieku?</w:t>
      </w:r>
      <w:r w:rsidR="003D34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8745D">
        <w:rPr>
          <w:rFonts w:ascii="Calibri" w:eastAsia="Calibri" w:hAnsi="Calibri" w:cs="Calibri"/>
          <w:b/>
          <w:sz w:val="24"/>
          <w:szCs w:val="24"/>
        </w:rPr>
        <w:t>Jakie stanowisko mają w tym temacie dietetycy?</w:t>
      </w:r>
    </w:p>
    <w:p w14:paraId="1975DE99" w14:textId="77777777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8745D">
        <w:rPr>
          <w:rFonts w:ascii="Calibri" w:eastAsia="Calibri" w:hAnsi="Calibri" w:cs="Calibri"/>
          <w:b/>
          <w:sz w:val="24"/>
          <w:szCs w:val="24"/>
        </w:rPr>
        <w:t>Zaburzenia odżywiania u dzieci i nastolatków – skąd się biorą?</w:t>
      </w:r>
    </w:p>
    <w:p w14:paraId="6492BBF0" w14:textId="26B6C19D" w:rsidR="00722E2C" w:rsidRPr="00A8745D" w:rsidRDefault="00544648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>Jak pokazują badania, w</w:t>
      </w:r>
      <w:r w:rsidR="00722E2C" w:rsidRPr="00A8745D">
        <w:rPr>
          <w:rFonts w:ascii="Calibri" w:eastAsia="Calibri" w:hAnsi="Calibri" w:cs="Calibri"/>
          <w:bCs/>
          <w:sz w:val="24"/>
          <w:szCs w:val="24"/>
        </w:rPr>
        <w:t>iększość przypadków zaburzeń odżywiania dotyczy nastoletnich dziewcząt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. A co bardziej niepokojące, </w:t>
      </w:r>
      <w:r w:rsidR="00722E2C" w:rsidRPr="00A8745D">
        <w:rPr>
          <w:rFonts w:ascii="Calibri" w:eastAsia="Calibri" w:hAnsi="Calibri" w:cs="Calibri"/>
          <w:bCs/>
          <w:sz w:val="24"/>
          <w:szCs w:val="24"/>
        </w:rPr>
        <w:t>schorzenia te dotyczą również małych dzieci - także w wieku przedszkolnym i wczesnoszkolnym. Co istotne, problemy te dotyczą obu płci. Jak wskazują autorki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książki „Zaburzenia odżywiania jako problem zdrowotny i psychospołeczny”,</w:t>
      </w:r>
      <w:r w:rsidR="00722E2C" w:rsidRPr="00A8745D">
        <w:rPr>
          <w:rFonts w:ascii="Calibri" w:eastAsia="Calibri" w:hAnsi="Calibri" w:cs="Calibri"/>
          <w:bCs/>
          <w:sz w:val="24"/>
          <w:szCs w:val="24"/>
        </w:rPr>
        <w:t xml:space="preserve"> ok. 5 – 10% chorych stanowią chłopcy w okresie dojrzewania, a w grupie dziewcząt poniżej 18 roku życia w Polsce problem anoreksji dotyczy nawet ok. 0,8–1,8%, a z uwzględnieniem postaci atypowych</w:t>
      </w:r>
      <w:r w:rsidRPr="00A8745D">
        <w:rPr>
          <w:rFonts w:ascii="Calibri" w:eastAsia="Calibri" w:hAnsi="Calibri" w:cs="Calibri"/>
          <w:bCs/>
          <w:sz w:val="24"/>
          <w:szCs w:val="24"/>
        </w:rPr>
        <w:t>,</w:t>
      </w:r>
      <w:r w:rsidR="00722E2C" w:rsidRPr="00A8745D">
        <w:rPr>
          <w:rFonts w:ascii="Calibri" w:eastAsia="Calibri" w:hAnsi="Calibri" w:cs="Calibri"/>
          <w:bCs/>
          <w:sz w:val="24"/>
          <w:szCs w:val="24"/>
        </w:rPr>
        <w:t xml:space="preserve"> odsetek ten sięga nawet 3,7%</w:t>
      </w:r>
      <w:r w:rsidR="00722E2C" w:rsidRPr="00A8745D">
        <w:rPr>
          <w:rFonts w:ascii="Calibri" w:eastAsia="Calibri" w:hAnsi="Calibri" w:cs="Calibri"/>
          <w:bCs/>
          <w:sz w:val="24"/>
          <w:szCs w:val="24"/>
          <w:vertAlign w:val="superscript"/>
        </w:rPr>
        <w:t>2</w:t>
      </w:r>
      <w:r w:rsidR="00722E2C" w:rsidRPr="00A8745D">
        <w:rPr>
          <w:rFonts w:ascii="Calibri" w:eastAsia="Calibri" w:hAnsi="Calibri" w:cs="Calibri"/>
          <w:bCs/>
          <w:sz w:val="24"/>
          <w:szCs w:val="24"/>
        </w:rPr>
        <w:t>.</w:t>
      </w:r>
    </w:p>
    <w:p w14:paraId="68CD3449" w14:textId="5EAE6CD9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8745D">
        <w:rPr>
          <w:rFonts w:ascii="Calibri" w:eastAsia="Calibri" w:hAnsi="Calibri" w:cs="Calibri"/>
          <w:b/>
          <w:sz w:val="24"/>
          <w:szCs w:val="24"/>
        </w:rPr>
        <w:t>Najczęstsze przyczyny zaburzeń odżywiania u dzieci i nastolatków</w:t>
      </w:r>
    </w:p>
    <w:p w14:paraId="235BD0FA" w14:textId="02B830D4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>Zaburzenia odżywiania u dzieci i nastolatków są charakterystyczne dla kultury zachodniej i są związane głównie z potrzebą utrzymania szczupłej sylwetki, co jest społecznie akceptowalne i pożądane, przy jednoczesnej dużej dostępności do różnego rodzaju produktów spożywczych, w tym produktów wysoko przetworzonych, których regularne spożywanie powoduje problemy zdrowotne oraz tycie. Warto podkreślić, że etiologia zaburzeń odżywiania jest wieloczynnikowa i do tej pory nie są znane wszystkie powody jej występowania, ale istotną rolę w rozwoju zaburzeń odżywiania u dzieci i młodzieży odgrywają czynniki rodzinne psychologiczne, społeczne, kulturowe, a także osobowościowe i genetyczne</w:t>
      </w:r>
      <w:r w:rsidRPr="00A8745D">
        <w:rPr>
          <w:rFonts w:ascii="Calibri" w:eastAsia="Calibri" w:hAnsi="Calibri" w:cs="Calibri"/>
          <w:bCs/>
          <w:sz w:val="24"/>
          <w:szCs w:val="24"/>
          <w:vertAlign w:val="superscript"/>
        </w:rPr>
        <w:t>2</w:t>
      </w:r>
      <w:r w:rsidRPr="00A8745D">
        <w:rPr>
          <w:rFonts w:ascii="Calibri" w:eastAsia="Calibri" w:hAnsi="Calibri" w:cs="Calibri"/>
          <w:bCs/>
          <w:sz w:val="24"/>
          <w:szCs w:val="24"/>
        </w:rPr>
        <w:t>.</w:t>
      </w:r>
    </w:p>
    <w:p w14:paraId="2F8BABF8" w14:textId="35EE4ADE" w:rsidR="003D12DA" w:rsidRPr="00D2547A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 xml:space="preserve">W oparciu o badania prof. M. </w:t>
      </w:r>
      <w:proofErr w:type="spellStart"/>
      <w:r w:rsidRPr="00A8745D">
        <w:rPr>
          <w:rFonts w:ascii="Calibri" w:eastAsia="Calibri" w:hAnsi="Calibri" w:cs="Calibri"/>
          <w:bCs/>
          <w:sz w:val="24"/>
          <w:szCs w:val="24"/>
        </w:rPr>
        <w:t>Mędrasia</w:t>
      </w:r>
      <w:proofErr w:type="spellEnd"/>
      <w:r w:rsidRPr="00A8745D">
        <w:rPr>
          <w:rFonts w:ascii="Calibri" w:eastAsia="Calibri" w:hAnsi="Calibri" w:cs="Calibri"/>
          <w:bCs/>
          <w:sz w:val="24"/>
          <w:szCs w:val="24"/>
        </w:rPr>
        <w:t xml:space="preserve"> z Akademii Wychowania Fizycznego we Wrocławiu wskazuje się, że z problemami zaburzenia zmagają się zwłaszcza nastolatki i młode kobiety, co ma podłoże społeczno-kulturalne i odnosi się do postrzegania kobiety.</w:t>
      </w:r>
      <w:r w:rsidRPr="00A8745D">
        <w:rPr>
          <w:rFonts w:ascii="Calibri" w:eastAsia="Calibri" w:hAnsi="Calibri" w:cs="Calibri"/>
          <w:bCs/>
          <w:sz w:val="24"/>
          <w:szCs w:val="24"/>
          <w:vertAlign w:val="superscript"/>
        </w:rPr>
        <w:t xml:space="preserve"> 3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„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>Można tu wskazać na swoistą pogoń za wymarzoną sylwetką i nieumiejętność radzenia sobie z mankamentami urody, co w efekcie prowadzi do takich zaburzeń jak anoreksja</w:t>
      </w:r>
      <w:r w:rsidR="00A3281F" w:rsidRPr="00A8745D">
        <w:rPr>
          <w:rFonts w:ascii="Calibri" w:eastAsia="Calibri" w:hAnsi="Calibri" w:cs="Calibri"/>
          <w:bCs/>
          <w:i/>
          <w:iCs/>
          <w:sz w:val="24"/>
          <w:szCs w:val="24"/>
        </w:rPr>
        <w:t>,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bulimia czy bigoreksja</w:t>
      </w:r>
      <w:r w:rsidRPr="00A8745D">
        <w:rPr>
          <w:rFonts w:ascii="Calibri" w:eastAsia="Calibri" w:hAnsi="Calibri" w:cs="Calibri"/>
          <w:bCs/>
          <w:sz w:val="24"/>
          <w:szCs w:val="24"/>
        </w:rPr>
        <w:t>.</w:t>
      </w:r>
      <w:r w:rsidR="00A3281F" w:rsidRPr="00A8745D">
        <w:rPr>
          <w:rFonts w:ascii="Calibri" w:eastAsia="Calibri" w:hAnsi="Calibri" w:cs="Calibri"/>
          <w:bCs/>
          <w:sz w:val="24"/>
          <w:szCs w:val="24"/>
        </w:rPr>
        <w:t xml:space="preserve">” – 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>komentuje</w:t>
      </w:r>
      <w:r w:rsidR="00A3281F" w:rsidRPr="00A8745D">
        <w:rPr>
          <w:rFonts w:ascii="Calibri" w:eastAsia="Calibri" w:hAnsi="Calibri" w:cs="Calibri"/>
          <w:bCs/>
          <w:sz w:val="24"/>
          <w:szCs w:val="24"/>
        </w:rPr>
        <w:t xml:space="preserve"> dietetyk kliniczna i założycielka </w:t>
      </w:r>
      <w:proofErr w:type="spellStart"/>
      <w:r w:rsidR="00A3281F" w:rsidRPr="00A8745D">
        <w:rPr>
          <w:rFonts w:ascii="Calibri" w:eastAsia="Calibri" w:hAnsi="Calibri" w:cs="Calibri"/>
          <w:bCs/>
          <w:sz w:val="24"/>
          <w:szCs w:val="24"/>
        </w:rPr>
        <w:t>MajAcademy</w:t>
      </w:r>
      <w:proofErr w:type="spellEnd"/>
      <w:r w:rsidR="00A3281F" w:rsidRPr="00A8745D">
        <w:rPr>
          <w:rFonts w:ascii="Calibri" w:eastAsia="Calibri" w:hAnsi="Calibri" w:cs="Calibri"/>
          <w:bCs/>
          <w:sz w:val="24"/>
          <w:szCs w:val="24"/>
        </w:rPr>
        <w:t xml:space="preserve"> Roksana Środa.  </w:t>
      </w:r>
    </w:p>
    <w:p w14:paraId="20BC4114" w14:textId="10051F3A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8745D">
        <w:rPr>
          <w:rFonts w:ascii="Calibri" w:eastAsia="Calibri" w:hAnsi="Calibri" w:cs="Calibri"/>
          <w:b/>
          <w:sz w:val="24"/>
          <w:szCs w:val="24"/>
        </w:rPr>
        <w:t xml:space="preserve">W jaki sposób szkoła może pomagać unikać albo rozpoznać zaburzenia odżywiania we wczesnym wieku? </w:t>
      </w:r>
    </w:p>
    <w:p w14:paraId="71195848" w14:textId="64B41F16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 xml:space="preserve">Jak w każdej chorobie, tak również w przypadku zaburzeń odżywiania istotne znaczenie ma szybkie dostrzeżenie problemu oraz odpowiednia reakcja. Dlatego tak istotną rolę pełni szkoła, która może pomagać rodzicom unikać lub też rozpoznawać zaburzenia odżywiania u dzieci i młodzieży. 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>„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Już na etapie nauczania wczesnoszkolnego nauczyciele są, bowiem w stanie zauważyć niepokojące zachowania ze strony dzieci, związane z unikaniem jedzenia posiłków – czy to tych przenoszonych z domu, czy też na stołówce szkolnej. Jeśli dodatkowo wiąże się to z niską wagą dziecka, a ponadto występują niepokojące zachowania i dziecko np. zwraca szczególną uwagę na swoją sylwetkę i poświęca cały swój czas na analizowanie tego 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lastRenderedPageBreak/>
        <w:t>zagadnienia to jest to ważny sygnał dla nauczycieli rodziców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>”</w:t>
      </w:r>
      <w:r w:rsidRPr="00A8745D">
        <w:rPr>
          <w:rFonts w:ascii="Calibri" w:eastAsia="Calibri" w:hAnsi="Calibri" w:cs="Calibri"/>
          <w:bCs/>
          <w:sz w:val="24"/>
          <w:szCs w:val="24"/>
        </w:rPr>
        <w:t>.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 xml:space="preserve"> – zauważa założycielka </w:t>
      </w:r>
      <w:proofErr w:type="spellStart"/>
      <w:r w:rsidR="00BA05C3" w:rsidRPr="00A8745D">
        <w:rPr>
          <w:rFonts w:ascii="Calibri" w:eastAsia="Calibri" w:hAnsi="Calibri" w:cs="Calibri"/>
          <w:bCs/>
          <w:sz w:val="24"/>
          <w:szCs w:val="24"/>
        </w:rPr>
        <w:t>MajAcademy</w:t>
      </w:r>
      <w:proofErr w:type="spellEnd"/>
      <w:r w:rsidR="00BA05C3" w:rsidRPr="00A8745D">
        <w:rPr>
          <w:rFonts w:ascii="Calibri" w:eastAsia="Calibri" w:hAnsi="Calibri" w:cs="Calibri"/>
          <w:bCs/>
          <w:sz w:val="24"/>
          <w:szCs w:val="24"/>
        </w:rPr>
        <w:t>.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Może to bowiem świadczyć o problemach z odżywianiem. 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>Warto,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aby w takiej sytuacji to nauczyciele i rodzice pierwsi zareagowali i postanowili porozmawiać z dzieckiem, ponieważ problemy zaburzenia, w tym tak poważne choroby jak anoreksja czy bulimia są na tyle trudne do zrozumienia dla dziecka, że często nie jest ono w stanie samodzielnie dostrzec problemu lub zaakceptować go.</w:t>
      </w:r>
    </w:p>
    <w:p w14:paraId="745CAEF3" w14:textId="1A281D9F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>Jak wskazuje dietetyk kliniczn</w:t>
      </w:r>
      <w:r w:rsidR="003D12DA" w:rsidRPr="00A8745D">
        <w:rPr>
          <w:rFonts w:ascii="Calibri" w:eastAsia="Calibri" w:hAnsi="Calibri" w:cs="Calibri"/>
          <w:bCs/>
          <w:sz w:val="24"/>
          <w:szCs w:val="24"/>
        </w:rPr>
        <w:t>a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Roksana Środa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>,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D12DA" w:rsidRPr="00A8745D">
        <w:rPr>
          <w:rFonts w:ascii="Calibri" w:eastAsia="Calibri" w:hAnsi="Calibri" w:cs="Calibri"/>
          <w:bCs/>
          <w:sz w:val="24"/>
          <w:szCs w:val="24"/>
        </w:rPr>
        <w:t>a</w:t>
      </w:r>
      <w:r w:rsidRPr="00A8745D">
        <w:rPr>
          <w:rFonts w:ascii="Calibri" w:eastAsia="Calibri" w:hAnsi="Calibri" w:cs="Calibri"/>
          <w:bCs/>
          <w:sz w:val="24"/>
          <w:szCs w:val="24"/>
        </w:rPr>
        <w:t>noreksja SIBO, IBS i PCOS są bowiem "chorobami samotników", a obecnie wiele dzieci nieświadomie wpada w pułapkę tych chorób. Dietetyk R. Środa zna tę sytuację, ponieważ sama w okresie szkolnym zmagała się z problemami odżywiania i przy wzroście 170 cm ważyła zaledwie 36 kg. Jak wskazuje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 xml:space="preserve"> dietetyk kliniczna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: </w:t>
      </w:r>
      <w:r w:rsidR="00BA05C3" w:rsidRPr="00A8745D">
        <w:rPr>
          <w:rFonts w:ascii="Calibri" w:eastAsia="Calibri" w:hAnsi="Calibri" w:cs="Calibri"/>
          <w:bCs/>
          <w:sz w:val="24"/>
          <w:szCs w:val="24"/>
        </w:rPr>
        <w:t>„</w:t>
      </w:r>
      <w:r w:rsidR="00BA05C3" w:rsidRPr="00A8745D">
        <w:rPr>
          <w:rFonts w:ascii="Calibri" w:eastAsia="Calibri" w:hAnsi="Calibri" w:cs="Calibri"/>
          <w:bCs/>
          <w:i/>
          <w:iCs/>
          <w:sz w:val="24"/>
          <w:szCs w:val="24"/>
        </w:rPr>
        <w:t>W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przypadku dzieci i młodzieży wszystko kręci się wokół jedzenia, wokół tego, co zrobić, żeby nic nie jeść, co zrobić, żeby nikt się nie zorientował</w:t>
      </w:r>
      <w:r w:rsidR="003D12DA"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. 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>Ta choroba to samotność, bo żeby uniknąć kontroli czy niewygodnych pytań, chory musi się izolować od ludzi. Rodzinny obiad, święta u babci czy wyjście do kina nieodłącznie związane były z jedzeniem, więc wciąż musiałam szukać wymówek, by w tych spotkaniach nie uczestniczyć wcale</w:t>
      </w:r>
      <w:r w:rsidRPr="00A8745D">
        <w:rPr>
          <w:rFonts w:ascii="Calibri" w:eastAsia="Calibri" w:hAnsi="Calibri" w:cs="Calibri"/>
          <w:bCs/>
          <w:sz w:val="24"/>
          <w:szCs w:val="24"/>
        </w:rPr>
        <w:t>.</w:t>
      </w:r>
    </w:p>
    <w:p w14:paraId="6B8DF180" w14:textId="77777777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8745D">
        <w:rPr>
          <w:rFonts w:ascii="Calibri" w:eastAsia="Calibri" w:hAnsi="Calibri" w:cs="Calibri"/>
          <w:b/>
          <w:sz w:val="24"/>
          <w:szCs w:val="24"/>
        </w:rPr>
        <w:t>Edukacja żywieniowa dzieci i dorosłych - dlaczego jest to tak ważny temat?</w:t>
      </w:r>
    </w:p>
    <w:p w14:paraId="00530ED8" w14:textId="77777777" w:rsidR="003D12DA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 xml:space="preserve">Edukacja żywieniowa u dzieci i młodzieży, jak i osób dorosłych ma bardzo ważne znaczenie, ponieważ pozwala wcześnie rozpoznać zaburzenia odżywiania i rozpocząć terapię. To istotne, ponieważ nieleczona anoreksja lub np. bulimia z biegiem czasu stają się chorobami przewlekłymi, których objawy powodują znaczne ograniczenia życiowe i wpływają również na sferę kontaktów społecznych. </w:t>
      </w:r>
    </w:p>
    <w:p w14:paraId="3F76A2C0" w14:textId="5B0258EC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 xml:space="preserve">Chory na anoreksję może unikać imprez </w:t>
      </w:r>
      <w:r w:rsidR="003D12DA" w:rsidRPr="00A8745D">
        <w:rPr>
          <w:rFonts w:ascii="Calibri" w:eastAsia="Calibri" w:hAnsi="Calibri" w:cs="Calibri"/>
          <w:bCs/>
          <w:sz w:val="24"/>
          <w:szCs w:val="24"/>
        </w:rPr>
        <w:t>szkolnych,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aby nie jeść i nie korzystać z poczęstunków. Co więcej, osoby chore mogą też szukać kontaktu z innymi chorymi, którzy znają ich problem i identyfikują się z nim, co utwierdza ich w przekonaniu, że nie robią nic złego. Dlatego istnieje potrzeba rozmawiania o problemach zaburzeń odżywiania dzieci i dorosłych w szkołach, np. podczas zajęć z wychowawcami klas lub z pedagogiem szkolnym. </w:t>
      </w:r>
    </w:p>
    <w:p w14:paraId="53F8F209" w14:textId="77777777" w:rsidR="003D12DA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 xml:space="preserve">Potwierdza to dietetyk </w:t>
      </w:r>
      <w:r w:rsidR="003D12DA" w:rsidRPr="00A8745D">
        <w:rPr>
          <w:rFonts w:ascii="Calibri" w:eastAsia="Calibri" w:hAnsi="Calibri" w:cs="Calibri"/>
          <w:bCs/>
          <w:sz w:val="24"/>
          <w:szCs w:val="24"/>
        </w:rPr>
        <w:t xml:space="preserve">Roksana Środa i </w:t>
      </w:r>
      <w:r w:rsidRPr="00A8745D">
        <w:rPr>
          <w:rFonts w:ascii="Calibri" w:eastAsia="Calibri" w:hAnsi="Calibri" w:cs="Calibri"/>
          <w:bCs/>
          <w:sz w:val="24"/>
          <w:szCs w:val="24"/>
        </w:rPr>
        <w:t>wskazuje</w:t>
      </w:r>
      <w:r w:rsidR="003D12DA" w:rsidRPr="00A8745D">
        <w:rPr>
          <w:rFonts w:ascii="Calibri" w:eastAsia="Calibri" w:hAnsi="Calibri" w:cs="Calibri"/>
          <w:bCs/>
          <w:sz w:val="24"/>
          <w:szCs w:val="24"/>
        </w:rPr>
        <w:t>, że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D12DA" w:rsidRPr="00A8745D">
        <w:rPr>
          <w:rFonts w:ascii="Calibri" w:eastAsia="Calibri" w:hAnsi="Calibri" w:cs="Calibri"/>
          <w:bCs/>
          <w:sz w:val="24"/>
          <w:szCs w:val="24"/>
        </w:rPr>
        <w:t>„</w:t>
      </w:r>
      <w:r w:rsidR="003D12DA"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Jak pokazują badania, dużo wyższą 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wysoką skuteczność terapii w przypadku zaburzeń odżywiania dzieci i młodzieży </w:t>
      </w:r>
      <w:r w:rsidR="003D12DA"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zyskujemy 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w </w:t>
      </w:r>
      <w:r w:rsidR="003D12DA" w:rsidRPr="00A8745D">
        <w:rPr>
          <w:rFonts w:ascii="Calibri" w:eastAsia="Calibri" w:hAnsi="Calibri" w:cs="Calibri"/>
          <w:bCs/>
          <w:i/>
          <w:iCs/>
          <w:sz w:val="24"/>
          <w:szCs w:val="24"/>
        </w:rPr>
        <w:t>sytuacji,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gdy leczenie rozpoczyna się w już w pierwszym roku trwania choroby. Wówczas, możliwość powrotu do zdrowia wynosi aż 80%.</w:t>
      </w:r>
      <w:r w:rsidR="003D12DA" w:rsidRPr="00A8745D">
        <w:rPr>
          <w:rFonts w:ascii="Calibri" w:eastAsia="Calibri" w:hAnsi="Calibri" w:cs="Calibri"/>
          <w:bCs/>
          <w:i/>
          <w:iCs/>
          <w:sz w:val="24"/>
          <w:szCs w:val="24"/>
          <w:vertAlign w:val="superscript"/>
        </w:rPr>
        <w:t>2</w:t>
      </w:r>
      <w:r w:rsidRPr="00A8745D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Gdy jednak leczenie rozpoczyna się po ponad roku trwania choroby to jest to już tylko 50. Z kolei wieloletnie nieleczenie bulimii czy anoreksji powoduje, że staje się ona chorobą przewlekłą i bardzo trudną do wyleczenia, co w praktyce udaje się co ok. 5 pacjentowi</w:t>
      </w:r>
      <w:r w:rsidR="003D12DA" w:rsidRPr="00A8745D">
        <w:rPr>
          <w:rFonts w:ascii="Calibri" w:eastAsia="Calibri" w:hAnsi="Calibri" w:cs="Calibri"/>
          <w:bCs/>
          <w:i/>
          <w:iCs/>
          <w:sz w:val="24"/>
          <w:szCs w:val="24"/>
          <w:vertAlign w:val="superscript"/>
        </w:rPr>
        <w:t>2</w:t>
      </w:r>
      <w:r w:rsidRPr="00A8745D">
        <w:rPr>
          <w:rFonts w:ascii="Calibri" w:eastAsia="Calibri" w:hAnsi="Calibri" w:cs="Calibri"/>
          <w:bCs/>
          <w:sz w:val="24"/>
          <w:szCs w:val="24"/>
        </w:rPr>
        <w:t>.</w:t>
      </w:r>
      <w:r w:rsidR="003D12DA" w:rsidRPr="00A8745D">
        <w:rPr>
          <w:rFonts w:ascii="Calibri" w:eastAsia="Calibri" w:hAnsi="Calibri" w:cs="Calibri"/>
          <w:bCs/>
          <w:sz w:val="24"/>
          <w:szCs w:val="24"/>
        </w:rPr>
        <w:t>”</w:t>
      </w:r>
      <w:r w:rsidRPr="00A8745D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705BD35A" w14:textId="7B9231EF" w:rsidR="00722E2C" w:rsidRPr="00A8745D" w:rsidRDefault="003D12DA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>W</w:t>
      </w:r>
      <w:r w:rsidR="00722E2C" w:rsidRPr="00A8745D">
        <w:rPr>
          <w:rFonts w:ascii="Calibri" w:eastAsia="Calibri" w:hAnsi="Calibri" w:cs="Calibri"/>
          <w:bCs/>
          <w:sz w:val="24"/>
          <w:szCs w:val="24"/>
        </w:rPr>
        <w:t xml:space="preserve">arto rozmawiać o zaburzeniach odżywiania również w szkole, zapoznając uczniów z tym problemem i dając możliwość szybkiej reakcji w </w:t>
      </w:r>
      <w:r w:rsidRPr="00A8745D">
        <w:rPr>
          <w:rFonts w:ascii="Calibri" w:eastAsia="Calibri" w:hAnsi="Calibri" w:cs="Calibri"/>
          <w:bCs/>
          <w:sz w:val="24"/>
          <w:szCs w:val="24"/>
        </w:rPr>
        <w:t>sytuacji,</w:t>
      </w:r>
      <w:r w:rsidR="00722E2C" w:rsidRPr="00A8745D">
        <w:rPr>
          <w:rFonts w:ascii="Calibri" w:eastAsia="Calibri" w:hAnsi="Calibri" w:cs="Calibri"/>
          <w:bCs/>
          <w:sz w:val="24"/>
          <w:szCs w:val="24"/>
        </w:rPr>
        <w:t xml:space="preserve"> gdy zaobserwują u siebie lub u rówieśników poważne problemy zdrowotne. </w:t>
      </w:r>
    </w:p>
    <w:p w14:paraId="78B77168" w14:textId="1DE5F3CC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A8745D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30869918" w14:textId="77777777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14"/>
          <w:szCs w:val="14"/>
        </w:rPr>
      </w:pPr>
      <w:r w:rsidRPr="00A8745D">
        <w:rPr>
          <w:rFonts w:ascii="Calibri" w:eastAsia="Calibri" w:hAnsi="Calibri" w:cs="Calibri"/>
          <w:bCs/>
          <w:sz w:val="14"/>
          <w:szCs w:val="14"/>
        </w:rPr>
        <w:t>Źródła:</w:t>
      </w:r>
    </w:p>
    <w:p w14:paraId="36AC005E" w14:textId="03ECE8D2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14"/>
          <w:szCs w:val="14"/>
        </w:rPr>
      </w:pPr>
      <w:r w:rsidRPr="00A8745D">
        <w:rPr>
          <w:rFonts w:ascii="Calibri" w:eastAsia="Calibri" w:hAnsi="Calibri" w:cs="Calibri"/>
          <w:bCs/>
          <w:sz w:val="14"/>
          <w:szCs w:val="14"/>
        </w:rPr>
        <w:t xml:space="preserve">1. Wesoła B., Tyle czasu dzieci spędzają w szkole. Ile godzin tygodniowo uczniowie siedzą w ławkach i o której kończą lekcje na różnych etapach edukacji, https://strefaedukacji.pl/tyle-czasu-dzieci-spedzaja-w-szkole-ile-godzin-tygodniowo-uczniowie-siedza-w-lawkach-i-o-ktorej-koncza-lekcje-na-roznych/ar/c5-16700407, dostęp: 7.09.2022 r. </w:t>
      </w:r>
    </w:p>
    <w:p w14:paraId="40A58812" w14:textId="77777777" w:rsidR="003D12DA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14"/>
          <w:szCs w:val="14"/>
        </w:rPr>
      </w:pPr>
      <w:r w:rsidRPr="00A8745D">
        <w:rPr>
          <w:rFonts w:ascii="Calibri" w:eastAsia="Calibri" w:hAnsi="Calibri" w:cs="Calibri"/>
          <w:bCs/>
          <w:sz w:val="14"/>
          <w:szCs w:val="14"/>
        </w:rPr>
        <w:t xml:space="preserve">2. Jabłońska E., </w:t>
      </w:r>
      <w:proofErr w:type="spellStart"/>
      <w:r w:rsidRPr="00A8745D">
        <w:rPr>
          <w:rFonts w:ascii="Calibri" w:eastAsia="Calibri" w:hAnsi="Calibri" w:cs="Calibri"/>
          <w:bCs/>
          <w:sz w:val="14"/>
          <w:szCs w:val="14"/>
        </w:rPr>
        <w:t>Błądkowska</w:t>
      </w:r>
      <w:proofErr w:type="spellEnd"/>
      <w:r w:rsidRPr="00A8745D">
        <w:rPr>
          <w:rFonts w:ascii="Calibri" w:eastAsia="Calibri" w:hAnsi="Calibri" w:cs="Calibri"/>
          <w:bCs/>
          <w:sz w:val="14"/>
          <w:szCs w:val="14"/>
        </w:rPr>
        <w:t xml:space="preserve"> K., </w:t>
      </w:r>
      <w:proofErr w:type="spellStart"/>
      <w:r w:rsidRPr="00A8745D">
        <w:rPr>
          <w:rFonts w:ascii="Calibri" w:eastAsia="Calibri" w:hAnsi="Calibri" w:cs="Calibri"/>
          <w:bCs/>
          <w:sz w:val="14"/>
          <w:szCs w:val="14"/>
        </w:rPr>
        <w:t>Bronkowska</w:t>
      </w:r>
      <w:proofErr w:type="spellEnd"/>
      <w:r w:rsidRPr="00A8745D">
        <w:rPr>
          <w:rFonts w:ascii="Calibri" w:eastAsia="Calibri" w:hAnsi="Calibri" w:cs="Calibri"/>
          <w:bCs/>
          <w:sz w:val="14"/>
          <w:szCs w:val="14"/>
        </w:rPr>
        <w:t xml:space="preserve"> M., Zaburzenia odżywiania jako problem zdrowotny i psychospołeczny, Katedra Żywienia Człowieka</w:t>
      </w:r>
      <w:r w:rsidR="003D12DA" w:rsidRPr="00A8745D">
        <w:rPr>
          <w:rFonts w:ascii="Calibri" w:eastAsia="Calibri" w:hAnsi="Calibri" w:cs="Calibri"/>
          <w:bCs/>
          <w:sz w:val="14"/>
          <w:szCs w:val="14"/>
        </w:rPr>
        <w:t xml:space="preserve"> </w:t>
      </w:r>
      <w:r w:rsidRPr="00A8745D">
        <w:rPr>
          <w:rFonts w:ascii="Calibri" w:eastAsia="Calibri" w:hAnsi="Calibri" w:cs="Calibri"/>
          <w:bCs/>
          <w:sz w:val="14"/>
          <w:szCs w:val="14"/>
        </w:rPr>
        <w:t xml:space="preserve">Uniwersytet Przyrodniczy we Wrocławiu, [w:] "Kosmos. Problemy nauk biologicznych", Tom 68, nr 1(322), s. 124, cyt. za: file:///C:/Users/Ja/Downloads/mbasaj,+%7B$userGroup%7D,+Jablonska1.pdf, dostęp: 7.09.2022 r. </w:t>
      </w:r>
      <w:r w:rsidR="003D12DA" w:rsidRPr="00A8745D">
        <w:rPr>
          <w:rFonts w:ascii="Calibri" w:eastAsia="Calibri" w:hAnsi="Calibri" w:cs="Calibri"/>
          <w:bCs/>
          <w:sz w:val="14"/>
          <w:szCs w:val="14"/>
        </w:rPr>
        <w:t xml:space="preserve"> </w:t>
      </w:r>
    </w:p>
    <w:p w14:paraId="7FB00600" w14:textId="6E8D5FEA" w:rsidR="00722E2C" w:rsidRPr="00A8745D" w:rsidRDefault="00722E2C" w:rsidP="00A8745D">
      <w:pPr>
        <w:spacing w:before="120"/>
        <w:jc w:val="both"/>
        <w:rPr>
          <w:rFonts w:ascii="Calibri" w:eastAsia="Calibri" w:hAnsi="Calibri" w:cs="Calibri"/>
          <w:bCs/>
          <w:sz w:val="14"/>
          <w:szCs w:val="14"/>
        </w:rPr>
      </w:pPr>
      <w:r w:rsidRPr="00A8745D">
        <w:rPr>
          <w:rFonts w:ascii="Calibri" w:eastAsia="Calibri" w:hAnsi="Calibri" w:cs="Calibri"/>
          <w:bCs/>
          <w:sz w:val="14"/>
          <w:szCs w:val="14"/>
        </w:rPr>
        <w:lastRenderedPageBreak/>
        <w:t xml:space="preserve">3. Rozprawy Naukowe Akademii Wychowania Fizycznego we Wrocławiu, Akademia Wychowania Fizycznego we Wrocławiu, nr 39, s. 9., cyt. za: https://citeseerx.ist.psu.edu/viewdoc/download?doi=10.1.1.467.2786&amp;rep=rep1&amp;type=pdf, dostęp: 7.09.2022 r. </w:t>
      </w:r>
    </w:p>
    <w:p w14:paraId="3CE2A33D" w14:textId="77777777" w:rsidR="00A8745D" w:rsidRPr="00A8745D" w:rsidRDefault="00A8745D" w:rsidP="00A8745D">
      <w:pPr>
        <w:spacing w:before="120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28825236" w14:textId="7696456A" w:rsidR="00004FC8" w:rsidRPr="00A8745D" w:rsidRDefault="00000000" w:rsidP="00A8745D">
      <w:pPr>
        <w:spacing w:before="120"/>
        <w:jc w:val="both"/>
        <w:rPr>
          <w:sz w:val="24"/>
          <w:szCs w:val="24"/>
        </w:rPr>
      </w:pPr>
      <w:r w:rsidRPr="00A8745D">
        <w:rPr>
          <w:rFonts w:ascii="Calibri" w:eastAsia="Calibri" w:hAnsi="Calibri" w:cs="Calibri"/>
          <w:sz w:val="24"/>
          <w:szCs w:val="24"/>
        </w:rPr>
        <w:t> </w:t>
      </w:r>
      <w:r w:rsidR="00004FC8" w:rsidRPr="00A8745D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A8745D" w:rsidRDefault="00004FC8" w:rsidP="00A8745D">
      <w:pPr>
        <w:spacing w:before="120"/>
        <w:jc w:val="both"/>
        <w:rPr>
          <w:sz w:val="24"/>
          <w:szCs w:val="24"/>
        </w:rPr>
      </w:pPr>
    </w:p>
    <w:p w14:paraId="3BDB9D09" w14:textId="77777777" w:rsidR="00004FC8" w:rsidRPr="00A8745D" w:rsidRDefault="00004FC8" w:rsidP="00A8745D">
      <w:pPr>
        <w:spacing w:before="120"/>
        <w:jc w:val="both"/>
        <w:rPr>
          <w:b/>
          <w:bCs/>
          <w:sz w:val="24"/>
          <w:szCs w:val="24"/>
        </w:rPr>
      </w:pPr>
      <w:r w:rsidRPr="00A8745D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A8745D" w:rsidRDefault="00004FC8" w:rsidP="00A8745D">
      <w:pPr>
        <w:spacing w:before="120"/>
        <w:jc w:val="both"/>
        <w:rPr>
          <w:sz w:val="24"/>
          <w:szCs w:val="24"/>
        </w:rPr>
      </w:pPr>
      <w:r w:rsidRPr="00A8745D">
        <w:rPr>
          <w:sz w:val="24"/>
          <w:szCs w:val="24"/>
        </w:rPr>
        <w:t xml:space="preserve">Patrycja Ogrodnik </w:t>
      </w:r>
    </w:p>
    <w:p w14:paraId="5081AB93" w14:textId="77777777" w:rsidR="00004FC8" w:rsidRPr="00A8745D" w:rsidRDefault="00004FC8" w:rsidP="00A8745D">
      <w:pPr>
        <w:spacing w:before="120"/>
        <w:jc w:val="both"/>
        <w:rPr>
          <w:sz w:val="24"/>
          <w:szCs w:val="24"/>
        </w:rPr>
      </w:pPr>
      <w:r w:rsidRPr="00A8745D">
        <w:rPr>
          <w:sz w:val="24"/>
          <w:szCs w:val="24"/>
        </w:rPr>
        <w:t>PR Manager</w:t>
      </w:r>
    </w:p>
    <w:p w14:paraId="19A01154" w14:textId="77777777" w:rsidR="00004FC8" w:rsidRPr="00A8745D" w:rsidRDefault="00000000" w:rsidP="00A8745D">
      <w:pPr>
        <w:spacing w:before="120"/>
        <w:jc w:val="both"/>
        <w:rPr>
          <w:sz w:val="24"/>
          <w:szCs w:val="24"/>
        </w:rPr>
      </w:pPr>
      <w:hyperlink r:id="rId7" w:history="1">
        <w:r w:rsidR="00004FC8" w:rsidRPr="00A8745D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A8745D">
      <w:pPr>
        <w:spacing w:before="120"/>
        <w:jc w:val="both"/>
        <w:rPr>
          <w:sz w:val="24"/>
          <w:szCs w:val="24"/>
        </w:rPr>
      </w:pPr>
      <w:r w:rsidRPr="00A8745D">
        <w:rPr>
          <w:sz w:val="24"/>
          <w:szCs w:val="24"/>
        </w:rPr>
        <w:t>tel. 692 333 175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44EF" w14:textId="77777777" w:rsidR="00F86C64" w:rsidRDefault="00F86C64">
      <w:r>
        <w:separator/>
      </w:r>
    </w:p>
  </w:endnote>
  <w:endnote w:type="continuationSeparator" w:id="0">
    <w:p w14:paraId="6BD0BB0E" w14:textId="77777777" w:rsidR="00F86C64" w:rsidRDefault="00F8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7E51" w14:textId="77777777" w:rsidR="00F86C64" w:rsidRDefault="00F86C64">
      <w:r>
        <w:separator/>
      </w:r>
    </w:p>
  </w:footnote>
  <w:footnote w:type="continuationSeparator" w:id="0">
    <w:p w14:paraId="15F11295" w14:textId="77777777" w:rsidR="00F86C64" w:rsidRDefault="00F8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77777777" w:rsidR="005A34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8AD0356" wp14:editId="0065D476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3D12DA"/>
    <w:rsid w:val="003D3444"/>
    <w:rsid w:val="00544648"/>
    <w:rsid w:val="005A34ED"/>
    <w:rsid w:val="005E7C3D"/>
    <w:rsid w:val="006B1CC5"/>
    <w:rsid w:val="007178C6"/>
    <w:rsid w:val="00722E2C"/>
    <w:rsid w:val="007F340D"/>
    <w:rsid w:val="00850FAB"/>
    <w:rsid w:val="008E7710"/>
    <w:rsid w:val="00936DEB"/>
    <w:rsid w:val="00967D02"/>
    <w:rsid w:val="009710AB"/>
    <w:rsid w:val="00A3281F"/>
    <w:rsid w:val="00A8745D"/>
    <w:rsid w:val="00BA05C3"/>
    <w:rsid w:val="00C51C17"/>
    <w:rsid w:val="00C56EB7"/>
    <w:rsid w:val="00C76948"/>
    <w:rsid w:val="00D2547A"/>
    <w:rsid w:val="00D75153"/>
    <w:rsid w:val="00E251B9"/>
    <w:rsid w:val="00EA64AE"/>
    <w:rsid w:val="00F2026F"/>
    <w:rsid w:val="00F55668"/>
    <w:rsid w:val="00F7124B"/>
    <w:rsid w:val="00F86C64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9</cp:revision>
  <dcterms:created xsi:type="dcterms:W3CDTF">2022-09-07T11:21:00Z</dcterms:created>
  <dcterms:modified xsi:type="dcterms:W3CDTF">2022-09-08T09:12:00Z</dcterms:modified>
</cp:coreProperties>
</file>