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7BD5" w14:textId="71F17877" w:rsidR="0011030C" w:rsidRPr="0011030C" w:rsidRDefault="0011030C" w:rsidP="0011030C">
      <w:pPr>
        <w:jc w:val="right"/>
        <w:rPr>
          <w:rFonts w:ascii="Lato" w:hAnsi="Lato"/>
          <w:sz w:val="24"/>
          <w:szCs w:val="24"/>
        </w:rPr>
      </w:pPr>
      <w:r w:rsidRPr="0011030C">
        <w:rPr>
          <w:rFonts w:ascii="Lato" w:hAnsi="Lato"/>
          <w:sz w:val="24"/>
          <w:szCs w:val="24"/>
        </w:rPr>
        <w:t>Warszawa, 13.12.2022</w:t>
      </w:r>
    </w:p>
    <w:p w14:paraId="475C2E73" w14:textId="77777777" w:rsidR="0011030C" w:rsidRDefault="0011030C" w:rsidP="0011030C">
      <w:pPr>
        <w:pStyle w:val="H1"/>
        <w:spacing w:before="0" w:after="0" w:line="360" w:lineRule="auto"/>
        <w:rPr>
          <w:rFonts w:eastAsia="Arial"/>
        </w:rPr>
      </w:pPr>
    </w:p>
    <w:p w14:paraId="4EA929FC" w14:textId="70BCB715" w:rsidR="433683A0" w:rsidRDefault="433683A0" w:rsidP="0011030C">
      <w:pPr>
        <w:pStyle w:val="H1"/>
        <w:spacing w:before="0" w:after="0" w:line="360" w:lineRule="auto"/>
        <w:rPr>
          <w:rFonts w:eastAsia="Arial"/>
        </w:rPr>
      </w:pPr>
      <w:r w:rsidRPr="0011030C">
        <w:rPr>
          <w:rFonts w:eastAsia="Arial"/>
        </w:rPr>
        <w:t>Kryteria ESG</w:t>
      </w:r>
      <w:r w:rsidR="00DB13E1">
        <w:rPr>
          <w:rFonts w:eastAsia="Arial"/>
        </w:rPr>
        <w:t xml:space="preserve"> – w </w:t>
      </w:r>
      <w:r w:rsidRPr="0011030C">
        <w:rPr>
          <w:rFonts w:eastAsia="Arial"/>
        </w:rPr>
        <w:t>jaki sposób wpływają na decyzje inwestorów i banków?</w:t>
      </w:r>
    </w:p>
    <w:p w14:paraId="527630B3" w14:textId="77777777" w:rsidR="0011030C" w:rsidRPr="0011030C" w:rsidRDefault="0011030C" w:rsidP="0011030C">
      <w:pPr>
        <w:rPr>
          <w:lang w:eastAsia="pl-PL" w:bidi="bn-IN"/>
        </w:rPr>
      </w:pPr>
    </w:p>
    <w:p w14:paraId="6894D307" w14:textId="5B1E5C89" w:rsidR="433683A0" w:rsidRDefault="433683A0" w:rsidP="0011030C">
      <w:pPr>
        <w:spacing w:before="0" w:after="0" w:line="360" w:lineRule="auto"/>
        <w:rPr>
          <w:rFonts w:ascii="Lato" w:eastAsia="Arial" w:hAnsi="Lato"/>
          <w:sz w:val="24"/>
          <w:szCs w:val="24"/>
        </w:rPr>
      </w:pPr>
      <w:r w:rsidRPr="0011030C">
        <w:rPr>
          <w:rFonts w:ascii="Lato" w:eastAsia="Arial" w:hAnsi="Lato"/>
          <w:sz w:val="24"/>
          <w:szCs w:val="24"/>
        </w:rPr>
        <w:t xml:space="preserve">Inwestorzy i firmy coraz częściej w </w:t>
      </w:r>
      <w:r w:rsidR="3D6DB413" w:rsidRPr="0011030C">
        <w:rPr>
          <w:rFonts w:ascii="Lato" w:eastAsia="Arial" w:hAnsi="Lato"/>
          <w:sz w:val="24"/>
          <w:szCs w:val="24"/>
        </w:rPr>
        <w:t xml:space="preserve">zarządzaniu zwracają uwagę na aspekty </w:t>
      </w:r>
      <w:r w:rsidRPr="0011030C">
        <w:rPr>
          <w:rFonts w:ascii="Lato" w:eastAsia="Arial" w:hAnsi="Lato"/>
          <w:sz w:val="24"/>
          <w:szCs w:val="24"/>
        </w:rPr>
        <w:t>ESG</w:t>
      </w:r>
      <w:r w:rsidR="1AE429E5" w:rsidRPr="0011030C">
        <w:rPr>
          <w:rFonts w:ascii="Lato" w:eastAsia="Arial" w:hAnsi="Lato"/>
          <w:sz w:val="24"/>
          <w:szCs w:val="24"/>
        </w:rPr>
        <w:t xml:space="preserve"> (</w:t>
      </w:r>
      <w:proofErr w:type="spellStart"/>
      <w:r w:rsidR="1FB79B08" w:rsidRPr="0011030C">
        <w:rPr>
          <w:rFonts w:ascii="Lato" w:eastAsia="Arial" w:hAnsi="Lato"/>
          <w:sz w:val="24"/>
          <w:szCs w:val="24"/>
        </w:rPr>
        <w:t>Environmental</w:t>
      </w:r>
      <w:proofErr w:type="spellEnd"/>
      <w:r w:rsidR="1FB79B08" w:rsidRPr="0011030C">
        <w:rPr>
          <w:rFonts w:ascii="Lato" w:eastAsia="Arial" w:hAnsi="Lato"/>
          <w:sz w:val="24"/>
          <w:szCs w:val="24"/>
        </w:rPr>
        <w:t xml:space="preserve">, Social </w:t>
      </w:r>
      <w:proofErr w:type="spellStart"/>
      <w:r w:rsidR="1FB79B08" w:rsidRPr="0011030C">
        <w:rPr>
          <w:rFonts w:ascii="Lato" w:eastAsia="Arial" w:hAnsi="Lato"/>
          <w:sz w:val="24"/>
          <w:szCs w:val="24"/>
        </w:rPr>
        <w:t>responsibility</w:t>
      </w:r>
      <w:proofErr w:type="spellEnd"/>
      <w:r w:rsidR="1FB79B08" w:rsidRPr="0011030C">
        <w:rPr>
          <w:rFonts w:ascii="Lato" w:eastAsia="Arial" w:hAnsi="Lato"/>
          <w:sz w:val="24"/>
          <w:szCs w:val="24"/>
        </w:rPr>
        <w:t xml:space="preserve"> and </w:t>
      </w:r>
      <w:proofErr w:type="spellStart"/>
      <w:r w:rsidR="1FB79B08" w:rsidRPr="0011030C">
        <w:rPr>
          <w:rFonts w:ascii="Lato" w:eastAsia="Arial" w:hAnsi="Lato"/>
          <w:sz w:val="24"/>
          <w:szCs w:val="24"/>
        </w:rPr>
        <w:t>corporate</w:t>
      </w:r>
      <w:proofErr w:type="spellEnd"/>
      <w:r w:rsidR="1FB79B08" w:rsidRPr="0011030C">
        <w:rPr>
          <w:rFonts w:ascii="Lato" w:eastAsia="Arial" w:hAnsi="Lato"/>
          <w:sz w:val="24"/>
          <w:szCs w:val="24"/>
        </w:rPr>
        <w:t xml:space="preserve"> </w:t>
      </w:r>
      <w:proofErr w:type="spellStart"/>
      <w:r w:rsidR="1FB79B08" w:rsidRPr="0011030C">
        <w:rPr>
          <w:rFonts w:ascii="Lato" w:eastAsia="Arial" w:hAnsi="Lato"/>
          <w:sz w:val="24"/>
          <w:szCs w:val="24"/>
        </w:rPr>
        <w:t>Governance</w:t>
      </w:r>
      <w:proofErr w:type="spellEnd"/>
      <w:r w:rsidR="1FB79B08" w:rsidRPr="0011030C">
        <w:rPr>
          <w:rFonts w:ascii="Lato" w:eastAsia="Arial" w:hAnsi="Lato"/>
          <w:sz w:val="24"/>
          <w:szCs w:val="24"/>
        </w:rPr>
        <w:t>).</w:t>
      </w:r>
      <w:r w:rsidR="0DFDB957" w:rsidRPr="0011030C">
        <w:rPr>
          <w:rFonts w:ascii="Lato" w:eastAsia="Arial" w:hAnsi="Lato"/>
          <w:sz w:val="24"/>
          <w:szCs w:val="24"/>
        </w:rPr>
        <w:t xml:space="preserve"> W </w:t>
      </w:r>
      <w:r w:rsidR="64FF4FEC" w:rsidRPr="0011030C">
        <w:rPr>
          <w:rFonts w:ascii="Lato" w:eastAsia="Arial" w:hAnsi="Lato"/>
          <w:sz w:val="24"/>
          <w:szCs w:val="24"/>
        </w:rPr>
        <w:t xml:space="preserve">procesach biznesowych </w:t>
      </w:r>
      <w:r w:rsidR="0F3FA25D" w:rsidRPr="0011030C">
        <w:rPr>
          <w:rFonts w:ascii="Lato" w:eastAsia="Arial" w:hAnsi="Lato"/>
          <w:sz w:val="24"/>
          <w:szCs w:val="24"/>
        </w:rPr>
        <w:t xml:space="preserve">wręcz kluczowe stają się </w:t>
      </w:r>
      <w:r w:rsidR="64FF4FEC" w:rsidRPr="0011030C">
        <w:rPr>
          <w:rFonts w:ascii="Lato" w:eastAsia="Arial" w:hAnsi="Lato"/>
          <w:sz w:val="24"/>
          <w:szCs w:val="24"/>
        </w:rPr>
        <w:t>kryteria środowiskowe, społeczne</w:t>
      </w:r>
      <w:r w:rsidR="7C1C4876" w:rsidRPr="0011030C">
        <w:rPr>
          <w:rFonts w:ascii="Lato" w:eastAsia="Arial" w:hAnsi="Lato"/>
          <w:sz w:val="24"/>
          <w:szCs w:val="24"/>
        </w:rPr>
        <w:t>j odpowiedzialności</w:t>
      </w:r>
      <w:r w:rsidR="64FF4FEC" w:rsidRPr="0011030C">
        <w:rPr>
          <w:rFonts w:ascii="Lato" w:eastAsia="Arial" w:hAnsi="Lato"/>
          <w:sz w:val="24"/>
          <w:szCs w:val="24"/>
        </w:rPr>
        <w:t xml:space="preserve"> i związane z </w:t>
      </w:r>
      <w:r w:rsidR="248B0C2B" w:rsidRPr="0011030C">
        <w:rPr>
          <w:rFonts w:ascii="Lato" w:eastAsia="Arial" w:hAnsi="Lato"/>
          <w:sz w:val="24"/>
          <w:szCs w:val="24"/>
        </w:rPr>
        <w:t xml:space="preserve">ładem </w:t>
      </w:r>
      <w:r w:rsidR="11355A19" w:rsidRPr="0011030C">
        <w:rPr>
          <w:rFonts w:ascii="Lato" w:eastAsia="Arial" w:hAnsi="Lato"/>
          <w:sz w:val="24"/>
          <w:szCs w:val="24"/>
        </w:rPr>
        <w:t>korporacyjnym,</w:t>
      </w:r>
      <w:r w:rsidR="248B0C2B" w:rsidRPr="0011030C">
        <w:rPr>
          <w:rFonts w:ascii="Lato" w:eastAsia="Arial" w:hAnsi="Lato"/>
          <w:sz w:val="24"/>
          <w:szCs w:val="24"/>
        </w:rPr>
        <w:t xml:space="preserve"> </w:t>
      </w:r>
      <w:r w:rsidRPr="0011030C">
        <w:rPr>
          <w:rFonts w:ascii="Lato" w:eastAsia="Arial" w:hAnsi="Lato"/>
          <w:sz w:val="24"/>
          <w:szCs w:val="24"/>
        </w:rPr>
        <w:t>ponieważ pozwalają im skuteczniej rozw</w:t>
      </w:r>
      <w:r w:rsidR="3B34F684" w:rsidRPr="0011030C">
        <w:rPr>
          <w:rFonts w:ascii="Lato" w:eastAsia="Arial" w:hAnsi="Lato"/>
          <w:sz w:val="24"/>
          <w:szCs w:val="24"/>
        </w:rPr>
        <w:t>ijać biznes oraz oceniać i identyfikować ryzyko</w:t>
      </w:r>
      <w:r w:rsidRPr="0011030C">
        <w:rPr>
          <w:rFonts w:ascii="Lato" w:eastAsia="Arial" w:hAnsi="Lato"/>
          <w:sz w:val="24"/>
          <w:szCs w:val="24"/>
        </w:rPr>
        <w:t xml:space="preserve">. Tym bardziej, że raporty ESG mają już nie tylko znaczenie dla wprowadzania ulepszeń w różnych obszarach działalności przedsiębiorstw, ale także dla uzyskiwania przez nie finansowania. </w:t>
      </w:r>
    </w:p>
    <w:p w14:paraId="58A4FFF4" w14:textId="77777777" w:rsidR="0011030C" w:rsidRPr="0011030C" w:rsidRDefault="0011030C" w:rsidP="0011030C">
      <w:pPr>
        <w:spacing w:before="0" w:after="0" w:line="360" w:lineRule="auto"/>
        <w:rPr>
          <w:rFonts w:ascii="Lato" w:eastAsia="Arial" w:hAnsi="Lato"/>
          <w:sz w:val="24"/>
          <w:szCs w:val="24"/>
        </w:rPr>
      </w:pPr>
    </w:p>
    <w:p w14:paraId="02F8EC41" w14:textId="1B371287" w:rsidR="433683A0" w:rsidRDefault="433683A0" w:rsidP="0011030C">
      <w:pPr>
        <w:spacing w:before="0" w:after="0" w:line="360" w:lineRule="auto"/>
        <w:rPr>
          <w:rFonts w:ascii="Lato" w:eastAsia="Arial" w:hAnsi="Lato"/>
          <w:sz w:val="24"/>
          <w:szCs w:val="24"/>
        </w:rPr>
      </w:pPr>
      <w:bookmarkStart w:id="0" w:name="_Hlk121906119"/>
      <w:r w:rsidRPr="0011030C">
        <w:rPr>
          <w:rFonts w:ascii="Lato" w:eastAsia="Arial" w:hAnsi="Lato"/>
          <w:sz w:val="24"/>
          <w:szCs w:val="24"/>
        </w:rPr>
        <w:t>Jak podaje raport PW</w:t>
      </w:r>
      <w:r w:rsidR="5E98B988" w:rsidRPr="0011030C">
        <w:rPr>
          <w:rFonts w:ascii="Lato" w:eastAsia="Arial" w:hAnsi="Lato"/>
          <w:sz w:val="24"/>
          <w:szCs w:val="24"/>
        </w:rPr>
        <w:t>C</w:t>
      </w:r>
      <w:r w:rsidRPr="0011030C">
        <w:rPr>
          <w:rFonts w:ascii="Lato" w:eastAsia="Arial" w:hAnsi="Lato"/>
          <w:sz w:val="24"/>
          <w:szCs w:val="24"/>
        </w:rPr>
        <w:t xml:space="preserve"> z 2022 r.</w:t>
      </w:r>
      <w:r w:rsidRPr="0011030C">
        <w:rPr>
          <w:rFonts w:ascii="Lato" w:eastAsia="Arial" w:hAnsi="Lato"/>
          <w:sz w:val="24"/>
          <w:szCs w:val="24"/>
          <w:vertAlign w:val="superscript"/>
        </w:rPr>
        <w:t xml:space="preserve">1 </w:t>
      </w:r>
      <w:r w:rsidRPr="0011030C">
        <w:rPr>
          <w:rFonts w:ascii="Lato" w:eastAsia="Arial" w:hAnsi="Lato"/>
          <w:sz w:val="24"/>
          <w:szCs w:val="24"/>
        </w:rPr>
        <w:t>69% banków planuje w ciągu najbliższego roku uwzględniać kryteria ESG w zarządzaniu ryzykiem kredytowym, a elementy zrównoważonego finansowania znajdują się już w ofercie produktowej 100% z nich.</w:t>
      </w:r>
      <w:bookmarkEnd w:id="0"/>
      <w:r w:rsidRPr="0011030C">
        <w:rPr>
          <w:rFonts w:ascii="Lato" w:eastAsia="Arial" w:hAnsi="Lato"/>
          <w:sz w:val="24"/>
          <w:szCs w:val="24"/>
        </w:rPr>
        <w:t xml:space="preserve"> Co więcej 81% banków planuje rozszerzyć tę ofertę o kolejne zielone produkty kredytowe.</w:t>
      </w:r>
    </w:p>
    <w:p w14:paraId="2ACE942B" w14:textId="77777777" w:rsidR="0011030C" w:rsidRPr="0011030C" w:rsidRDefault="0011030C" w:rsidP="0011030C">
      <w:pPr>
        <w:spacing w:before="0" w:after="0" w:line="360" w:lineRule="auto"/>
        <w:rPr>
          <w:rFonts w:ascii="Lato" w:hAnsi="Lato"/>
          <w:sz w:val="24"/>
          <w:szCs w:val="24"/>
        </w:rPr>
      </w:pPr>
    </w:p>
    <w:p w14:paraId="3A70CA0D" w14:textId="29CFA49D" w:rsidR="433683A0" w:rsidRDefault="433683A0" w:rsidP="0011030C">
      <w:pPr>
        <w:pStyle w:val="H2"/>
        <w:spacing w:before="0" w:after="0" w:line="360" w:lineRule="auto"/>
        <w:rPr>
          <w:rFonts w:eastAsia="Arial"/>
        </w:rPr>
      </w:pPr>
      <w:r w:rsidRPr="0011030C">
        <w:rPr>
          <w:rFonts w:eastAsia="Arial"/>
        </w:rPr>
        <w:t>Kierunek na zrównoważone inwestycje i technologie</w:t>
      </w:r>
    </w:p>
    <w:p w14:paraId="1DEAD64E" w14:textId="77777777" w:rsidR="0011030C" w:rsidRPr="0011030C" w:rsidRDefault="0011030C" w:rsidP="0011030C">
      <w:pPr>
        <w:rPr>
          <w:lang w:eastAsia="pl-PL" w:bidi="bn-IN"/>
        </w:rPr>
      </w:pPr>
    </w:p>
    <w:p w14:paraId="3EDF3C4C" w14:textId="4CFC1905" w:rsidR="433683A0" w:rsidRDefault="433683A0" w:rsidP="0011030C">
      <w:pPr>
        <w:spacing w:before="0" w:after="0" w:line="360" w:lineRule="auto"/>
        <w:rPr>
          <w:rFonts w:ascii="Lato" w:eastAsia="Arial" w:hAnsi="Lato"/>
          <w:sz w:val="24"/>
          <w:szCs w:val="24"/>
        </w:rPr>
      </w:pPr>
      <w:r w:rsidRPr="0011030C">
        <w:rPr>
          <w:rFonts w:ascii="Lato" w:eastAsia="Arial" w:hAnsi="Lato"/>
          <w:sz w:val="24"/>
          <w:szCs w:val="24"/>
        </w:rPr>
        <w:t xml:space="preserve">Komisja Europejska przyjęła 21 kwietnia 2021 roku kompleksowy pakiet narzędzi, których celem jest przekierowanie przepływu środków finansowych w zrównoważone przedsięwzięcia na terenie całej Unii Europejskiej. Działania te mają zachęcić do inwestowania w zielone technologie i przedsiębiorstwa, a w efekcie prowadzić do </w:t>
      </w:r>
      <w:r w:rsidRPr="0011030C">
        <w:rPr>
          <w:rFonts w:ascii="Lato" w:eastAsia="Arial" w:hAnsi="Lato"/>
          <w:b/>
          <w:bCs/>
          <w:sz w:val="24"/>
          <w:szCs w:val="24"/>
        </w:rPr>
        <w:t xml:space="preserve">przebudowy gospodarki zgodnie z zasadami zrównoważonego rozwoju </w:t>
      </w:r>
      <w:r w:rsidRPr="0011030C">
        <w:rPr>
          <w:rFonts w:ascii="Lato" w:eastAsia="Arial" w:hAnsi="Lato"/>
          <w:sz w:val="24"/>
          <w:szCs w:val="24"/>
        </w:rPr>
        <w:t>i</w:t>
      </w:r>
      <w:r w:rsidRPr="0011030C">
        <w:rPr>
          <w:rFonts w:ascii="Lato" w:eastAsia="Arial" w:hAnsi="Lato"/>
          <w:b/>
          <w:bCs/>
          <w:sz w:val="24"/>
          <w:szCs w:val="24"/>
        </w:rPr>
        <w:t xml:space="preserve"> </w:t>
      </w:r>
      <w:r w:rsidRPr="0011030C">
        <w:rPr>
          <w:rFonts w:ascii="Lato" w:eastAsia="Arial" w:hAnsi="Lato"/>
          <w:sz w:val="24"/>
          <w:szCs w:val="24"/>
        </w:rPr>
        <w:t>wspierać osiągnięcie przez Europę neutralności klimatycznej do 2050 roku.</w:t>
      </w:r>
    </w:p>
    <w:p w14:paraId="7E58A570" w14:textId="77777777" w:rsidR="0011030C" w:rsidRPr="0011030C" w:rsidRDefault="0011030C" w:rsidP="0011030C">
      <w:pPr>
        <w:spacing w:before="0" w:after="0" w:line="360" w:lineRule="auto"/>
        <w:rPr>
          <w:rFonts w:ascii="Lato" w:hAnsi="Lato"/>
          <w:sz w:val="24"/>
          <w:szCs w:val="24"/>
        </w:rPr>
      </w:pPr>
    </w:p>
    <w:p w14:paraId="559DC625" w14:textId="552C3BD0" w:rsidR="433683A0" w:rsidRDefault="2D36FA27" w:rsidP="0011030C">
      <w:pPr>
        <w:spacing w:before="0" w:after="0" w:line="360" w:lineRule="auto"/>
        <w:rPr>
          <w:rFonts w:ascii="Lato" w:eastAsia="Arial" w:hAnsi="Lato"/>
          <w:sz w:val="24"/>
          <w:szCs w:val="24"/>
        </w:rPr>
      </w:pPr>
      <w:r w:rsidRPr="0011030C">
        <w:rPr>
          <w:rFonts w:ascii="Lato" w:eastAsia="Arial" w:hAnsi="Lato"/>
          <w:sz w:val="24"/>
          <w:szCs w:val="24"/>
        </w:rPr>
        <w:lastRenderedPageBreak/>
        <w:t>O</w:t>
      </w:r>
      <w:r w:rsidR="433683A0" w:rsidRPr="0011030C">
        <w:rPr>
          <w:rFonts w:ascii="Lato" w:eastAsia="Arial" w:hAnsi="Lato"/>
          <w:sz w:val="24"/>
          <w:szCs w:val="24"/>
        </w:rPr>
        <w:t>bowiązkowe raportowanie ESG w Unii Europejskiej będzie od 2023 roku obejmować duże, notowane na giełdzie spółki, których przychody przekraczają 170 mln PLN rocznie, a trzy lata później, czyli w 2026 roku, wszystkie spółki.</w:t>
      </w:r>
      <w:r w:rsidR="433683A0" w:rsidRPr="0011030C">
        <w:rPr>
          <w:rFonts w:ascii="Lato" w:eastAsia="Arial" w:hAnsi="Lato"/>
          <w:sz w:val="24"/>
          <w:szCs w:val="24"/>
          <w:vertAlign w:val="superscript"/>
        </w:rPr>
        <w:t>2</w:t>
      </w:r>
      <w:r w:rsidR="433683A0" w:rsidRPr="0011030C">
        <w:rPr>
          <w:rFonts w:ascii="Lato" w:eastAsia="Arial" w:hAnsi="Lato"/>
          <w:sz w:val="24"/>
          <w:szCs w:val="24"/>
        </w:rPr>
        <w:t xml:space="preserve"> Ten ruch KE nie dziwi, ponieważ kryteria ESG umożliwiają ocenę wpływu firmy na </w:t>
      </w:r>
      <w:r w:rsidR="657548F4" w:rsidRPr="0011030C">
        <w:rPr>
          <w:rFonts w:ascii="Lato" w:eastAsia="Arial" w:hAnsi="Lato"/>
          <w:sz w:val="24"/>
          <w:szCs w:val="24"/>
        </w:rPr>
        <w:t xml:space="preserve">powyżej opisane </w:t>
      </w:r>
      <w:r w:rsidR="433683A0" w:rsidRPr="0011030C">
        <w:rPr>
          <w:rFonts w:ascii="Lato" w:eastAsia="Arial" w:hAnsi="Lato"/>
          <w:sz w:val="24"/>
          <w:szCs w:val="24"/>
        </w:rPr>
        <w:t xml:space="preserve">zagadnienia i - co najważniejsze - wymagają określenia mierzalnych celów, które w efekcie prowadzą do zrównoważonego i odpowiedzialnego rozwoju. </w:t>
      </w:r>
    </w:p>
    <w:p w14:paraId="1CFF6D5C" w14:textId="77777777" w:rsidR="0011030C" w:rsidRPr="0011030C" w:rsidRDefault="0011030C" w:rsidP="0011030C">
      <w:pPr>
        <w:spacing w:before="0" w:after="0" w:line="360" w:lineRule="auto"/>
        <w:rPr>
          <w:rFonts w:ascii="Lato" w:eastAsia="Arial" w:hAnsi="Lato"/>
          <w:sz w:val="24"/>
          <w:szCs w:val="24"/>
        </w:rPr>
      </w:pPr>
    </w:p>
    <w:p w14:paraId="446E9A52" w14:textId="0E133140" w:rsidR="433683A0" w:rsidRDefault="433683A0" w:rsidP="0011030C">
      <w:pPr>
        <w:spacing w:before="0" w:after="0" w:line="360" w:lineRule="auto"/>
        <w:rPr>
          <w:rFonts w:ascii="Lato" w:eastAsia="Arial" w:hAnsi="Lato"/>
          <w:sz w:val="24"/>
          <w:szCs w:val="24"/>
          <w:vertAlign w:val="superscript"/>
        </w:rPr>
      </w:pPr>
      <w:r w:rsidRPr="0011030C">
        <w:rPr>
          <w:rFonts w:ascii="Lato" w:eastAsia="Arial" w:hAnsi="Lato"/>
          <w:i/>
          <w:iCs/>
          <w:sz w:val="24"/>
          <w:szCs w:val="24"/>
        </w:rPr>
        <w:t>– Firmy produkcyjne mają do odegrania niezwykle ważną rolę odpowiadając nie tylko za rozwój i wprowadzanie nowych produktów, ale także projektowanie procesów p</w:t>
      </w:r>
      <w:r w:rsidR="6BDBDF58" w:rsidRPr="0011030C">
        <w:rPr>
          <w:rFonts w:ascii="Lato" w:eastAsia="Arial" w:hAnsi="Lato"/>
          <w:i/>
          <w:iCs/>
          <w:sz w:val="24"/>
          <w:szCs w:val="24"/>
        </w:rPr>
        <w:t xml:space="preserve">rodukcyjnych </w:t>
      </w:r>
      <w:r w:rsidRPr="0011030C">
        <w:rPr>
          <w:rFonts w:ascii="Lato" w:eastAsia="Arial" w:hAnsi="Lato"/>
          <w:i/>
          <w:iCs/>
          <w:sz w:val="24"/>
          <w:szCs w:val="24"/>
        </w:rPr>
        <w:t xml:space="preserve">i podejmowanie decyzji dotyczących wykorzystania odnawialnych źródeł energii oraz materiałów. To właśnie ich świadome podejście oparte na wykorzystaniu kryteriów ESG może zmienić ślad węglowy procesu technologicznego firmy oraz klientów wybierających produkty konkretnej marki – </w:t>
      </w:r>
      <w:r w:rsidRPr="0011030C">
        <w:rPr>
          <w:rFonts w:ascii="Lato" w:eastAsia="Arial" w:hAnsi="Lato"/>
          <w:sz w:val="24"/>
          <w:szCs w:val="24"/>
        </w:rPr>
        <w:t xml:space="preserve">mówi Piotr Miednik, CFO </w:t>
      </w:r>
      <w:proofErr w:type="spellStart"/>
      <w:r w:rsidRPr="0011030C">
        <w:rPr>
          <w:rFonts w:ascii="Lato" w:eastAsia="Arial" w:hAnsi="Lato"/>
          <w:sz w:val="24"/>
          <w:szCs w:val="24"/>
        </w:rPr>
        <w:t>Contec</w:t>
      </w:r>
      <w:proofErr w:type="spellEnd"/>
      <w:r w:rsidRPr="0011030C">
        <w:rPr>
          <w:rFonts w:ascii="Lato" w:eastAsia="Arial" w:hAnsi="Lato"/>
          <w:sz w:val="24"/>
          <w:szCs w:val="24"/>
        </w:rPr>
        <w:t xml:space="preserve"> S.A., firmy zajmującej się technologiami odzyskiwania materiałów zgodnie z zasadami gospodarki cyrkulacyjnej i laureata złotej nagrody konkursu Lider ESG w 2021 roku za technologię utylizacji wycofanych z użytkowania opon.</w:t>
      </w:r>
      <w:r w:rsidRPr="0011030C">
        <w:rPr>
          <w:rFonts w:ascii="Lato" w:eastAsia="Arial" w:hAnsi="Lato"/>
          <w:sz w:val="24"/>
          <w:szCs w:val="24"/>
          <w:vertAlign w:val="superscript"/>
        </w:rPr>
        <w:t>3</w:t>
      </w:r>
    </w:p>
    <w:p w14:paraId="11551B07" w14:textId="77777777" w:rsidR="0011030C" w:rsidRPr="0011030C" w:rsidRDefault="0011030C" w:rsidP="0011030C">
      <w:pPr>
        <w:spacing w:before="0" w:after="0" w:line="360" w:lineRule="auto"/>
        <w:rPr>
          <w:rFonts w:ascii="Lato" w:hAnsi="Lato"/>
          <w:sz w:val="24"/>
          <w:szCs w:val="24"/>
        </w:rPr>
      </w:pPr>
    </w:p>
    <w:p w14:paraId="53A68785" w14:textId="08FA868E" w:rsidR="433683A0" w:rsidRDefault="433683A0" w:rsidP="0011030C">
      <w:pPr>
        <w:pStyle w:val="H2"/>
        <w:spacing w:before="0" w:after="0" w:line="360" w:lineRule="auto"/>
        <w:rPr>
          <w:rFonts w:eastAsia="Arial"/>
        </w:rPr>
      </w:pPr>
      <w:r w:rsidRPr="0011030C">
        <w:rPr>
          <w:rFonts w:eastAsia="Arial"/>
        </w:rPr>
        <w:t>Czy niepewna sytuacja geopolityczna zatrzyma zmiany?</w:t>
      </w:r>
    </w:p>
    <w:p w14:paraId="0E08B31B" w14:textId="77777777" w:rsidR="0011030C" w:rsidRPr="0011030C" w:rsidRDefault="0011030C" w:rsidP="0011030C">
      <w:pPr>
        <w:rPr>
          <w:lang w:eastAsia="pl-PL" w:bidi="bn-IN"/>
        </w:rPr>
      </w:pPr>
    </w:p>
    <w:p w14:paraId="5329E924" w14:textId="7ECBCB27" w:rsidR="433683A0" w:rsidRDefault="433683A0" w:rsidP="0011030C">
      <w:pPr>
        <w:spacing w:before="0" w:after="0" w:line="360" w:lineRule="auto"/>
        <w:rPr>
          <w:rFonts w:ascii="Lato" w:eastAsia="Arial" w:hAnsi="Lato"/>
          <w:sz w:val="24"/>
          <w:szCs w:val="24"/>
          <w:vertAlign w:val="superscript"/>
        </w:rPr>
      </w:pPr>
      <w:r w:rsidRPr="0011030C">
        <w:rPr>
          <w:rFonts w:ascii="Lato" w:eastAsia="Arial" w:hAnsi="Lato"/>
          <w:sz w:val="24"/>
          <w:szCs w:val="24"/>
        </w:rPr>
        <w:t>W ciągu ostatnich dwóch lat zielona transformacja w UE stanęła w obliczu poważnych przeszkód, takich jak wojna na Ukrainie, sankcje wobec Rosji i związany z nimi kryzys energetyczny. Czynniki te mogą wyhamować tempo zmian, tym bardziej, że trend ten widać już w statystykach, wskazujących na odstępowanie niektórych krajów od dążenia do zmniejszenia emisji CO</w:t>
      </w:r>
      <w:r w:rsidRPr="0011030C">
        <w:rPr>
          <w:rFonts w:ascii="Lato" w:eastAsia="Arial" w:hAnsi="Lato"/>
          <w:sz w:val="24"/>
          <w:szCs w:val="24"/>
          <w:vertAlign w:val="subscript"/>
        </w:rPr>
        <w:t>2</w:t>
      </w:r>
      <w:r w:rsidRPr="0011030C">
        <w:rPr>
          <w:rFonts w:ascii="Lato" w:eastAsia="Arial" w:hAnsi="Lato"/>
          <w:sz w:val="24"/>
          <w:szCs w:val="24"/>
        </w:rPr>
        <w:t>.</w:t>
      </w:r>
      <w:r w:rsidRPr="0011030C">
        <w:rPr>
          <w:rFonts w:ascii="Lato" w:eastAsia="Arial" w:hAnsi="Lato"/>
          <w:sz w:val="24"/>
          <w:szCs w:val="24"/>
          <w:vertAlign w:val="superscript"/>
        </w:rPr>
        <w:t>1</w:t>
      </w:r>
    </w:p>
    <w:p w14:paraId="6B3D87C8" w14:textId="77777777" w:rsidR="0011030C" w:rsidRPr="0011030C" w:rsidRDefault="0011030C" w:rsidP="0011030C">
      <w:pPr>
        <w:spacing w:before="0" w:after="0" w:line="360" w:lineRule="auto"/>
        <w:rPr>
          <w:rFonts w:ascii="Lato" w:hAnsi="Lato"/>
          <w:sz w:val="24"/>
          <w:szCs w:val="24"/>
        </w:rPr>
      </w:pPr>
    </w:p>
    <w:p w14:paraId="6EB48453" w14:textId="328F0429" w:rsidR="433683A0" w:rsidRDefault="433683A0" w:rsidP="0011030C">
      <w:pPr>
        <w:spacing w:before="0" w:after="0" w:line="360" w:lineRule="auto"/>
        <w:rPr>
          <w:rFonts w:ascii="Lato" w:eastAsia="Arial" w:hAnsi="Lato"/>
          <w:sz w:val="24"/>
          <w:szCs w:val="24"/>
        </w:rPr>
      </w:pPr>
      <w:r w:rsidRPr="0011030C">
        <w:rPr>
          <w:rFonts w:ascii="Lato" w:eastAsia="Arial" w:hAnsi="Lato"/>
          <w:sz w:val="24"/>
          <w:szCs w:val="24"/>
        </w:rPr>
        <w:t>Z drugiej strony organy UE nakładają na banki i instytucje finansowe coraz to nowe obowiązki, wprowadzając przepisy i wytyczne w zakresie ESG, czy chociażby konieczność uwzględniania charakterystyki energetycznej budynku podczas zabezpieczenia kredytu.</w:t>
      </w:r>
    </w:p>
    <w:p w14:paraId="339F6027" w14:textId="77777777" w:rsidR="0011030C" w:rsidRPr="0011030C" w:rsidRDefault="0011030C" w:rsidP="0011030C">
      <w:pPr>
        <w:spacing w:before="0" w:after="0" w:line="360" w:lineRule="auto"/>
        <w:rPr>
          <w:rFonts w:ascii="Lato" w:hAnsi="Lato"/>
          <w:sz w:val="24"/>
          <w:szCs w:val="24"/>
        </w:rPr>
      </w:pPr>
    </w:p>
    <w:p w14:paraId="3D961C1F" w14:textId="3C3CCD8F" w:rsidR="433683A0" w:rsidRDefault="433683A0" w:rsidP="0011030C">
      <w:pPr>
        <w:spacing w:before="0" w:after="0" w:line="360" w:lineRule="auto"/>
        <w:rPr>
          <w:rFonts w:ascii="Lato" w:eastAsia="Arial" w:hAnsi="Lato"/>
          <w:sz w:val="24"/>
          <w:szCs w:val="24"/>
        </w:rPr>
      </w:pPr>
      <w:r w:rsidRPr="0011030C">
        <w:rPr>
          <w:rFonts w:ascii="Lato" w:eastAsia="Arial" w:hAnsi="Lato"/>
          <w:sz w:val="24"/>
          <w:szCs w:val="24"/>
        </w:rPr>
        <w:lastRenderedPageBreak/>
        <w:t xml:space="preserve">– </w:t>
      </w:r>
      <w:r w:rsidRPr="0011030C">
        <w:rPr>
          <w:rFonts w:ascii="Lato" w:eastAsia="Arial" w:hAnsi="Lato"/>
          <w:i/>
          <w:iCs/>
          <w:sz w:val="24"/>
          <w:szCs w:val="24"/>
        </w:rPr>
        <w:t xml:space="preserve">Nie wydaje się, by kryzys energetyczny w Europie mógł zupełnie zahamować </w:t>
      </w:r>
      <w:r w:rsidR="360C668A" w:rsidRPr="0011030C">
        <w:rPr>
          <w:rFonts w:ascii="Lato" w:eastAsia="Arial" w:hAnsi="Lato"/>
          <w:i/>
          <w:iCs/>
          <w:sz w:val="24"/>
          <w:szCs w:val="24"/>
        </w:rPr>
        <w:t xml:space="preserve">zieloną </w:t>
      </w:r>
      <w:r w:rsidRPr="0011030C">
        <w:rPr>
          <w:rFonts w:ascii="Lato" w:eastAsia="Arial" w:hAnsi="Lato"/>
          <w:i/>
          <w:iCs/>
          <w:sz w:val="24"/>
          <w:szCs w:val="24"/>
        </w:rPr>
        <w:t xml:space="preserve">transformację. Oczywiście </w:t>
      </w:r>
      <w:r w:rsidR="68BB8FC2" w:rsidRPr="0011030C">
        <w:rPr>
          <w:rFonts w:ascii="Lato" w:eastAsia="Arial" w:hAnsi="Lato"/>
          <w:i/>
          <w:iCs/>
          <w:sz w:val="24"/>
          <w:szCs w:val="24"/>
        </w:rPr>
        <w:t xml:space="preserve">może </w:t>
      </w:r>
      <w:r w:rsidRPr="0011030C">
        <w:rPr>
          <w:rFonts w:ascii="Lato" w:eastAsia="Arial" w:hAnsi="Lato"/>
          <w:i/>
          <w:iCs/>
          <w:sz w:val="24"/>
          <w:szCs w:val="24"/>
        </w:rPr>
        <w:t>wystąpi</w:t>
      </w:r>
      <w:r w:rsidR="432B94D9" w:rsidRPr="0011030C">
        <w:rPr>
          <w:rFonts w:ascii="Lato" w:eastAsia="Arial" w:hAnsi="Lato"/>
          <w:i/>
          <w:iCs/>
          <w:sz w:val="24"/>
          <w:szCs w:val="24"/>
        </w:rPr>
        <w:t>ć</w:t>
      </w:r>
      <w:r w:rsidRPr="0011030C">
        <w:rPr>
          <w:rFonts w:ascii="Lato" w:eastAsia="Arial" w:hAnsi="Lato"/>
          <w:i/>
          <w:iCs/>
          <w:sz w:val="24"/>
          <w:szCs w:val="24"/>
        </w:rPr>
        <w:t xml:space="preserve"> chwilowe jej spowolnienie, które może być wynikiem chociażby problemów w dostępie do gazu. Jednak Europa jest mocno zaangażowana w </w:t>
      </w:r>
      <w:r w:rsidR="537F8C32" w:rsidRPr="0011030C">
        <w:rPr>
          <w:rFonts w:ascii="Lato" w:eastAsia="Arial" w:hAnsi="Lato"/>
          <w:i/>
          <w:iCs/>
          <w:sz w:val="24"/>
          <w:szCs w:val="24"/>
        </w:rPr>
        <w:t xml:space="preserve">tzw. </w:t>
      </w:r>
      <w:proofErr w:type="spellStart"/>
      <w:r w:rsidR="537F8C32" w:rsidRPr="0011030C">
        <w:rPr>
          <w:rFonts w:ascii="Lato" w:eastAsia="Arial" w:hAnsi="Lato"/>
          <w:i/>
          <w:iCs/>
          <w:sz w:val="24"/>
          <w:szCs w:val="24"/>
        </w:rPr>
        <w:t>green</w:t>
      </w:r>
      <w:proofErr w:type="spellEnd"/>
      <w:r w:rsidR="537F8C32" w:rsidRPr="0011030C">
        <w:rPr>
          <w:rFonts w:ascii="Lato" w:eastAsia="Arial" w:hAnsi="Lato"/>
          <w:i/>
          <w:iCs/>
          <w:sz w:val="24"/>
          <w:szCs w:val="24"/>
        </w:rPr>
        <w:t xml:space="preserve"> </w:t>
      </w:r>
      <w:proofErr w:type="spellStart"/>
      <w:r w:rsidR="537F8C32" w:rsidRPr="0011030C">
        <w:rPr>
          <w:rFonts w:ascii="Lato" w:eastAsia="Arial" w:hAnsi="Lato"/>
          <w:i/>
          <w:iCs/>
          <w:sz w:val="24"/>
          <w:szCs w:val="24"/>
        </w:rPr>
        <w:t>revolution</w:t>
      </w:r>
      <w:proofErr w:type="spellEnd"/>
      <w:r w:rsidRPr="0011030C">
        <w:rPr>
          <w:rFonts w:ascii="Lato" w:eastAsia="Arial" w:hAnsi="Lato"/>
          <w:i/>
          <w:iCs/>
          <w:sz w:val="24"/>
          <w:szCs w:val="24"/>
        </w:rPr>
        <w:t>, a jed</w:t>
      </w:r>
      <w:r w:rsidR="2FE21067" w:rsidRPr="0011030C">
        <w:rPr>
          <w:rFonts w:ascii="Lato" w:eastAsia="Arial" w:hAnsi="Lato"/>
          <w:i/>
          <w:iCs/>
          <w:sz w:val="24"/>
          <w:szCs w:val="24"/>
        </w:rPr>
        <w:t>en z</w:t>
      </w:r>
      <w:r w:rsidRPr="0011030C">
        <w:rPr>
          <w:rFonts w:ascii="Lato" w:eastAsia="Arial" w:hAnsi="Lato"/>
          <w:i/>
          <w:iCs/>
          <w:sz w:val="24"/>
          <w:szCs w:val="24"/>
        </w:rPr>
        <w:t xml:space="preserve"> problem</w:t>
      </w:r>
      <w:r w:rsidR="582DBAAD" w:rsidRPr="0011030C">
        <w:rPr>
          <w:rFonts w:ascii="Lato" w:eastAsia="Arial" w:hAnsi="Lato"/>
          <w:i/>
          <w:iCs/>
          <w:sz w:val="24"/>
          <w:szCs w:val="24"/>
        </w:rPr>
        <w:t>ów</w:t>
      </w:r>
      <w:r w:rsidRPr="0011030C">
        <w:rPr>
          <w:rFonts w:ascii="Lato" w:eastAsia="Arial" w:hAnsi="Lato"/>
          <w:i/>
          <w:iCs/>
          <w:sz w:val="24"/>
          <w:szCs w:val="24"/>
        </w:rPr>
        <w:t xml:space="preserve">, </w:t>
      </w:r>
      <w:r w:rsidR="76C7A3C1" w:rsidRPr="0011030C">
        <w:rPr>
          <w:rFonts w:ascii="Lato" w:eastAsia="Arial" w:hAnsi="Lato"/>
          <w:i/>
          <w:iCs/>
          <w:sz w:val="24"/>
          <w:szCs w:val="24"/>
        </w:rPr>
        <w:t xml:space="preserve">jakie można </w:t>
      </w:r>
      <w:r w:rsidRPr="0011030C">
        <w:rPr>
          <w:rFonts w:ascii="Lato" w:eastAsia="Arial" w:hAnsi="Lato"/>
          <w:i/>
          <w:iCs/>
          <w:sz w:val="24"/>
          <w:szCs w:val="24"/>
        </w:rPr>
        <w:t>dostrze</w:t>
      </w:r>
      <w:r w:rsidR="75FF5220" w:rsidRPr="0011030C">
        <w:rPr>
          <w:rFonts w:ascii="Lato" w:eastAsia="Arial" w:hAnsi="Lato"/>
          <w:i/>
          <w:iCs/>
          <w:sz w:val="24"/>
          <w:szCs w:val="24"/>
        </w:rPr>
        <w:t>c</w:t>
      </w:r>
      <w:r w:rsidRPr="0011030C">
        <w:rPr>
          <w:rFonts w:ascii="Lato" w:eastAsia="Arial" w:hAnsi="Lato"/>
          <w:i/>
          <w:iCs/>
          <w:sz w:val="24"/>
          <w:szCs w:val="24"/>
        </w:rPr>
        <w:t xml:space="preserve">, to </w:t>
      </w:r>
      <w:r w:rsidR="0F7C74E1" w:rsidRPr="0011030C">
        <w:rPr>
          <w:rFonts w:ascii="Lato" w:eastAsia="Arial" w:hAnsi="Lato"/>
          <w:i/>
          <w:iCs/>
          <w:sz w:val="24"/>
          <w:szCs w:val="24"/>
        </w:rPr>
        <w:t xml:space="preserve">zbyt </w:t>
      </w:r>
      <w:r w:rsidRPr="0011030C">
        <w:rPr>
          <w:rFonts w:ascii="Lato" w:eastAsia="Arial" w:hAnsi="Lato"/>
          <w:i/>
          <w:iCs/>
          <w:sz w:val="24"/>
          <w:szCs w:val="24"/>
        </w:rPr>
        <w:t>technokratyczne podejście do transformacji, które opiera się głównie na regulacjach, a nie na zasadach rynkowych</w:t>
      </w:r>
      <w:r w:rsidRPr="0011030C">
        <w:rPr>
          <w:rFonts w:ascii="Lato" w:eastAsia="Arial" w:hAnsi="Lato"/>
          <w:sz w:val="24"/>
          <w:szCs w:val="24"/>
        </w:rPr>
        <w:t xml:space="preserve"> – konkluduje ekspert z </w:t>
      </w:r>
      <w:proofErr w:type="spellStart"/>
      <w:r w:rsidRPr="0011030C">
        <w:rPr>
          <w:rFonts w:ascii="Lato" w:eastAsia="Arial" w:hAnsi="Lato"/>
          <w:sz w:val="24"/>
          <w:szCs w:val="24"/>
        </w:rPr>
        <w:t>Contec</w:t>
      </w:r>
      <w:proofErr w:type="spellEnd"/>
      <w:r w:rsidRPr="0011030C">
        <w:rPr>
          <w:rFonts w:ascii="Lato" w:eastAsia="Arial" w:hAnsi="Lato"/>
          <w:sz w:val="24"/>
          <w:szCs w:val="24"/>
        </w:rPr>
        <w:t xml:space="preserve">. </w:t>
      </w:r>
    </w:p>
    <w:p w14:paraId="03A6B674" w14:textId="77777777" w:rsidR="00004E06" w:rsidRPr="0011030C" w:rsidRDefault="00004E06" w:rsidP="0011030C">
      <w:pPr>
        <w:spacing w:before="0" w:after="0" w:line="360" w:lineRule="auto"/>
        <w:rPr>
          <w:rFonts w:ascii="Lato" w:hAnsi="Lato"/>
          <w:sz w:val="24"/>
          <w:szCs w:val="24"/>
        </w:rPr>
      </w:pPr>
    </w:p>
    <w:p w14:paraId="3B9CA482" w14:textId="7E1FA932" w:rsidR="433683A0" w:rsidRPr="0011030C" w:rsidRDefault="433683A0" w:rsidP="0011030C">
      <w:pPr>
        <w:spacing w:before="0" w:after="0" w:line="360" w:lineRule="auto"/>
        <w:rPr>
          <w:rFonts w:ascii="Lato" w:hAnsi="Lato"/>
          <w:sz w:val="24"/>
          <w:szCs w:val="24"/>
        </w:rPr>
      </w:pPr>
      <w:r w:rsidRPr="0011030C">
        <w:rPr>
          <w:rFonts w:ascii="Lato" w:eastAsia="Arial" w:hAnsi="Lato"/>
          <w:sz w:val="24"/>
          <w:szCs w:val="24"/>
        </w:rPr>
        <w:t xml:space="preserve">Wszystko wskazuje więc na to, że zielona transformacja może </w:t>
      </w:r>
      <w:r w:rsidR="00A4B600" w:rsidRPr="0011030C">
        <w:rPr>
          <w:rFonts w:ascii="Lato" w:eastAsia="Arial" w:hAnsi="Lato"/>
          <w:sz w:val="24"/>
          <w:szCs w:val="24"/>
        </w:rPr>
        <w:t>odnotować przejściowe</w:t>
      </w:r>
      <w:r w:rsidRPr="0011030C">
        <w:rPr>
          <w:rFonts w:ascii="Lato" w:eastAsia="Arial" w:hAnsi="Lato"/>
          <w:sz w:val="24"/>
          <w:szCs w:val="24"/>
        </w:rPr>
        <w:t xml:space="preserve"> zwolni</w:t>
      </w:r>
      <w:r w:rsidR="3B71C908" w:rsidRPr="0011030C">
        <w:rPr>
          <w:rFonts w:ascii="Lato" w:eastAsia="Arial" w:hAnsi="Lato"/>
          <w:sz w:val="24"/>
          <w:szCs w:val="24"/>
        </w:rPr>
        <w:t>enie</w:t>
      </w:r>
      <w:r w:rsidRPr="0011030C">
        <w:rPr>
          <w:rFonts w:ascii="Lato" w:eastAsia="Arial" w:hAnsi="Lato"/>
          <w:sz w:val="24"/>
          <w:szCs w:val="24"/>
        </w:rPr>
        <w:t>, ale nie wyhamuje, wspierana przez ograniczenia w dostępie do zielonych kredytów. Tym bardziej, że większość banków traktuje kryteria ESG jako szansę na uzyskanie przewagi konkurencyjnej, co może prowadzić do dynamicznego rozwoju oferty zielonych produktów kredytowych.</w:t>
      </w:r>
      <w:r w:rsidRPr="0011030C">
        <w:rPr>
          <w:rFonts w:ascii="Lato" w:eastAsia="Arial" w:hAnsi="Lato"/>
          <w:sz w:val="24"/>
          <w:szCs w:val="24"/>
          <w:vertAlign w:val="superscript"/>
        </w:rPr>
        <w:t>1</w:t>
      </w:r>
    </w:p>
    <w:p w14:paraId="6A5EC816" w14:textId="772793A9" w:rsidR="433683A0" w:rsidRPr="0011030C" w:rsidRDefault="433683A0" w:rsidP="0011030C">
      <w:pPr>
        <w:spacing w:before="0" w:after="0" w:line="360" w:lineRule="auto"/>
        <w:rPr>
          <w:rFonts w:ascii="Lato" w:hAnsi="Lato"/>
          <w:sz w:val="24"/>
          <w:szCs w:val="24"/>
        </w:rPr>
      </w:pPr>
      <w:r w:rsidRPr="0011030C">
        <w:rPr>
          <w:rFonts w:ascii="Lato" w:eastAsia="Arial" w:hAnsi="Lato"/>
          <w:sz w:val="24"/>
          <w:szCs w:val="24"/>
        </w:rPr>
        <w:t xml:space="preserve"> </w:t>
      </w:r>
    </w:p>
    <w:p w14:paraId="504E8916" w14:textId="4BD8C98D" w:rsidR="433683A0" w:rsidRPr="0011030C" w:rsidRDefault="433683A0" w:rsidP="0011030C">
      <w:pPr>
        <w:spacing w:before="0" w:after="0" w:line="360" w:lineRule="auto"/>
        <w:rPr>
          <w:rFonts w:ascii="Lato" w:hAnsi="Lato"/>
          <w:sz w:val="24"/>
          <w:szCs w:val="24"/>
        </w:rPr>
      </w:pPr>
      <w:r w:rsidRPr="0011030C">
        <w:rPr>
          <w:rFonts w:ascii="Lato" w:eastAsia="Arial" w:hAnsi="Lato"/>
        </w:rPr>
        <w:t xml:space="preserve">1. </w:t>
      </w:r>
      <w:proofErr w:type="spellStart"/>
      <w:r w:rsidRPr="0011030C">
        <w:rPr>
          <w:rFonts w:ascii="Lato" w:eastAsia="Arial" w:hAnsi="Lato"/>
        </w:rPr>
        <w:t>Raport_PwC_Zielone_finanse_po_polsku_Edycja_II</w:t>
      </w:r>
      <w:proofErr w:type="spellEnd"/>
    </w:p>
    <w:p w14:paraId="6D656072" w14:textId="66E1D1FA" w:rsidR="433683A0" w:rsidRPr="0011030C" w:rsidRDefault="433683A0" w:rsidP="0011030C">
      <w:pPr>
        <w:spacing w:before="0" w:after="0" w:line="360" w:lineRule="auto"/>
        <w:rPr>
          <w:rFonts w:ascii="Lato" w:hAnsi="Lato"/>
          <w:sz w:val="24"/>
          <w:szCs w:val="24"/>
        </w:rPr>
      </w:pPr>
      <w:r w:rsidRPr="0011030C">
        <w:rPr>
          <w:rFonts w:ascii="Lato" w:eastAsia="Arial" w:hAnsi="Lato"/>
        </w:rPr>
        <w:t xml:space="preserve">2. </w:t>
      </w:r>
      <w:hyperlink r:id="rId7">
        <w:r w:rsidRPr="0011030C">
          <w:rPr>
            <w:rStyle w:val="Hipercze"/>
            <w:rFonts w:ascii="Lato" w:eastAsia="Arial" w:hAnsi="Lato"/>
          </w:rPr>
          <w:t>https://startup.pfr.pl/pl/aktualnosci/esg-kto-bedzie-musial-skladac-raporty-i-jak/</w:t>
        </w:r>
      </w:hyperlink>
    </w:p>
    <w:p w14:paraId="41E025B1" w14:textId="57376EA1" w:rsidR="433683A0" w:rsidRPr="0011030C" w:rsidRDefault="433683A0" w:rsidP="0011030C">
      <w:pPr>
        <w:spacing w:before="0" w:after="0" w:line="360" w:lineRule="auto"/>
        <w:rPr>
          <w:rFonts w:ascii="Lato" w:hAnsi="Lato"/>
          <w:sz w:val="24"/>
          <w:szCs w:val="24"/>
        </w:rPr>
      </w:pPr>
      <w:r w:rsidRPr="0011030C">
        <w:rPr>
          <w:rFonts w:ascii="Lato" w:eastAsia="Arial" w:hAnsi="Lato"/>
        </w:rPr>
        <w:t xml:space="preserve">3. </w:t>
      </w:r>
      <w:hyperlink r:id="rId8">
        <w:r w:rsidRPr="0011030C">
          <w:rPr>
            <w:rStyle w:val="Hipercze"/>
            <w:rFonts w:ascii="Lato" w:eastAsia="Arial" w:hAnsi="Lato"/>
          </w:rPr>
          <w:t>https://www.nntfi.pl/finanse-po-godzinach/poznalismy-liderow-esg</w:t>
        </w:r>
      </w:hyperlink>
    </w:p>
    <w:p w14:paraId="76E83DAB" w14:textId="057EFAB4" w:rsidR="5FF81594" w:rsidRPr="0011030C" w:rsidRDefault="5FF81594" w:rsidP="0011030C">
      <w:pPr>
        <w:spacing w:before="0" w:after="0" w:line="360" w:lineRule="auto"/>
        <w:rPr>
          <w:rFonts w:ascii="Lato" w:hAnsi="Lato"/>
          <w:sz w:val="24"/>
          <w:szCs w:val="24"/>
          <w:lang w:eastAsia="pl-PL" w:bidi="bn-IN"/>
        </w:rPr>
      </w:pPr>
    </w:p>
    <w:sectPr w:rsidR="5FF81594" w:rsidRPr="0011030C" w:rsidSect="0011030C">
      <w:headerReference w:type="default" r:id="rId9"/>
      <w:type w:val="continuous"/>
      <w:pgSz w:w="11909" w:h="16834" w:code="9"/>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85975" w14:textId="77777777" w:rsidR="00C7036E" w:rsidRDefault="00C7036E" w:rsidP="0011030C">
      <w:pPr>
        <w:spacing w:before="0" w:after="0" w:line="240" w:lineRule="auto"/>
      </w:pPr>
      <w:r>
        <w:separator/>
      </w:r>
    </w:p>
  </w:endnote>
  <w:endnote w:type="continuationSeparator" w:id="0">
    <w:p w14:paraId="56043217" w14:textId="77777777" w:rsidR="00C7036E" w:rsidRDefault="00C7036E" w:rsidP="001103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7C5A4" w14:textId="77777777" w:rsidR="00C7036E" w:rsidRDefault="00C7036E" w:rsidP="0011030C">
      <w:pPr>
        <w:spacing w:before="0" w:after="0" w:line="240" w:lineRule="auto"/>
      </w:pPr>
      <w:r>
        <w:separator/>
      </w:r>
    </w:p>
  </w:footnote>
  <w:footnote w:type="continuationSeparator" w:id="0">
    <w:p w14:paraId="2ECE81F8" w14:textId="77777777" w:rsidR="00C7036E" w:rsidRDefault="00C7036E" w:rsidP="0011030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4FBD" w14:textId="29461ACD" w:rsidR="0011030C" w:rsidRDefault="0011030C">
    <w:pPr>
      <w:pStyle w:val="Nagwek"/>
    </w:pPr>
    <w:r w:rsidRPr="0011030C">
      <w:drawing>
        <wp:anchor distT="0" distB="0" distL="114300" distR="114300" simplePos="0" relativeHeight="251658240" behindDoc="1" locked="0" layoutInCell="1" allowOverlap="1" wp14:anchorId="3FCCB47C" wp14:editId="5696BF93">
          <wp:simplePos x="0" y="0"/>
          <wp:positionH relativeFrom="column">
            <wp:posOffset>3564890</wp:posOffset>
          </wp:positionH>
          <wp:positionV relativeFrom="paragraph">
            <wp:posOffset>-31115</wp:posOffset>
          </wp:positionV>
          <wp:extent cx="1992630" cy="609257"/>
          <wp:effectExtent l="0" t="0" r="0" b="0"/>
          <wp:wrapNone/>
          <wp:docPr id="1" name="Obraz 1"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lipar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992630" cy="609257"/>
                  </a:xfrm>
                  <a:prstGeom prst="rect">
                    <a:avLst/>
                  </a:prstGeom>
                </pic:spPr>
              </pic:pic>
            </a:graphicData>
          </a:graphic>
          <wp14:sizeRelH relativeFrom="margin">
            <wp14:pctWidth>0</wp14:pctWidth>
          </wp14:sizeRelH>
          <wp14:sizeRelV relativeFrom="margin">
            <wp14:pctHeight>0</wp14:pctHeight>
          </wp14:sizeRelV>
        </wp:anchor>
      </w:drawing>
    </w:r>
  </w:p>
  <w:p w14:paraId="3F3F415D" w14:textId="77777777" w:rsidR="0011030C" w:rsidRDefault="0011030C">
    <w:pPr>
      <w:pStyle w:val="Nagwek"/>
    </w:pPr>
  </w:p>
  <w:p w14:paraId="006247E9" w14:textId="77777777" w:rsidR="0011030C" w:rsidRDefault="0011030C">
    <w:pPr>
      <w:pStyle w:val="Nagwek"/>
    </w:pPr>
    <w:r>
      <w:t xml:space="preserve">INFORMACJA PRASOWA </w:t>
    </w:r>
  </w:p>
  <w:p w14:paraId="630A548D" w14:textId="77777777" w:rsidR="0011030C" w:rsidRDefault="0011030C">
    <w:pPr>
      <w:pStyle w:val="Nagwek"/>
    </w:pPr>
  </w:p>
  <w:p w14:paraId="11B7EFC1" w14:textId="77777777" w:rsidR="0011030C" w:rsidRDefault="0011030C">
    <w:pPr>
      <w:pStyle w:val="Nagwek"/>
    </w:pPr>
  </w:p>
  <w:p w14:paraId="0CABD9F0" w14:textId="1E5A8548" w:rsidR="0011030C" w:rsidRDefault="0011030C">
    <w:pPr>
      <w:pStyle w:val="Nagwek"/>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31C30"/>
    <w:multiLevelType w:val="hybridMultilevel"/>
    <w:tmpl w:val="1B865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57A6C50"/>
    <w:multiLevelType w:val="hybridMultilevel"/>
    <w:tmpl w:val="048CC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09294C"/>
    <w:multiLevelType w:val="multilevel"/>
    <w:tmpl w:val="F29E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532101"/>
    <w:multiLevelType w:val="multilevel"/>
    <w:tmpl w:val="DCD2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AF12D6"/>
    <w:multiLevelType w:val="multilevel"/>
    <w:tmpl w:val="C1BA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D30EF9"/>
    <w:multiLevelType w:val="multilevel"/>
    <w:tmpl w:val="AAB4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212544"/>
    <w:multiLevelType w:val="multilevel"/>
    <w:tmpl w:val="BE6E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205329"/>
    <w:multiLevelType w:val="multilevel"/>
    <w:tmpl w:val="2AD0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C94971"/>
    <w:multiLevelType w:val="hybridMultilevel"/>
    <w:tmpl w:val="55227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56392037">
    <w:abstractNumId w:val="5"/>
  </w:num>
  <w:num w:numId="2" w16cid:durableId="1312561203">
    <w:abstractNumId w:val="4"/>
  </w:num>
  <w:num w:numId="3" w16cid:durableId="1089077875">
    <w:abstractNumId w:val="6"/>
  </w:num>
  <w:num w:numId="4" w16cid:durableId="1775782234">
    <w:abstractNumId w:val="3"/>
  </w:num>
  <w:num w:numId="5" w16cid:durableId="1956908618">
    <w:abstractNumId w:val="2"/>
  </w:num>
  <w:num w:numId="6" w16cid:durableId="54861013">
    <w:abstractNumId w:val="1"/>
  </w:num>
  <w:num w:numId="7" w16cid:durableId="1234468184">
    <w:abstractNumId w:val="0"/>
  </w:num>
  <w:num w:numId="8" w16cid:durableId="1214197385">
    <w:abstractNumId w:val="8"/>
  </w:num>
  <w:num w:numId="9" w16cid:durableId="12572088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1F78CE"/>
    <w:rsid w:val="00004E06"/>
    <w:rsid w:val="0001239C"/>
    <w:rsid w:val="00031CEE"/>
    <w:rsid w:val="00042D82"/>
    <w:rsid w:val="000F0543"/>
    <w:rsid w:val="001016D8"/>
    <w:rsid w:val="0011030C"/>
    <w:rsid w:val="00141633"/>
    <w:rsid w:val="00144EF2"/>
    <w:rsid w:val="00146AF5"/>
    <w:rsid w:val="00167EA9"/>
    <w:rsid w:val="00173976"/>
    <w:rsid w:val="001805DF"/>
    <w:rsid w:val="00187D1A"/>
    <w:rsid w:val="001F1D19"/>
    <w:rsid w:val="001F2DA8"/>
    <w:rsid w:val="001F78CE"/>
    <w:rsid w:val="00200764"/>
    <w:rsid w:val="00221248"/>
    <w:rsid w:val="002B2D9B"/>
    <w:rsid w:val="002D7055"/>
    <w:rsid w:val="00300510"/>
    <w:rsid w:val="00305160"/>
    <w:rsid w:val="00330212"/>
    <w:rsid w:val="0035194D"/>
    <w:rsid w:val="003650C6"/>
    <w:rsid w:val="00373BFD"/>
    <w:rsid w:val="003A7BC8"/>
    <w:rsid w:val="003C11CA"/>
    <w:rsid w:val="003D0198"/>
    <w:rsid w:val="003D0B7E"/>
    <w:rsid w:val="003E3114"/>
    <w:rsid w:val="003E54DA"/>
    <w:rsid w:val="00406B96"/>
    <w:rsid w:val="00410ECA"/>
    <w:rsid w:val="00436788"/>
    <w:rsid w:val="00436FA3"/>
    <w:rsid w:val="00473799"/>
    <w:rsid w:val="00480305"/>
    <w:rsid w:val="004958F8"/>
    <w:rsid w:val="004A407E"/>
    <w:rsid w:val="004A45D8"/>
    <w:rsid w:val="004B5AF0"/>
    <w:rsid w:val="004B6D51"/>
    <w:rsid w:val="004C3417"/>
    <w:rsid w:val="004C4173"/>
    <w:rsid w:val="004D461A"/>
    <w:rsid w:val="00521437"/>
    <w:rsid w:val="005256BF"/>
    <w:rsid w:val="00540AF9"/>
    <w:rsid w:val="00543199"/>
    <w:rsid w:val="00554832"/>
    <w:rsid w:val="00554B59"/>
    <w:rsid w:val="00583F67"/>
    <w:rsid w:val="005A5EBA"/>
    <w:rsid w:val="005B6D2A"/>
    <w:rsid w:val="005C0399"/>
    <w:rsid w:val="006105C0"/>
    <w:rsid w:val="006418F5"/>
    <w:rsid w:val="00645E71"/>
    <w:rsid w:val="0066481E"/>
    <w:rsid w:val="0068008C"/>
    <w:rsid w:val="006D5E73"/>
    <w:rsid w:val="00714AF3"/>
    <w:rsid w:val="00766F71"/>
    <w:rsid w:val="007749E9"/>
    <w:rsid w:val="007E303C"/>
    <w:rsid w:val="00803BFE"/>
    <w:rsid w:val="00815FA2"/>
    <w:rsid w:val="00825515"/>
    <w:rsid w:val="00854F37"/>
    <w:rsid w:val="00856F4E"/>
    <w:rsid w:val="00880DA3"/>
    <w:rsid w:val="008A04CE"/>
    <w:rsid w:val="008F6D2E"/>
    <w:rsid w:val="009095B3"/>
    <w:rsid w:val="009276BA"/>
    <w:rsid w:val="0093194A"/>
    <w:rsid w:val="009571D3"/>
    <w:rsid w:val="00960D9B"/>
    <w:rsid w:val="00982DCF"/>
    <w:rsid w:val="00992D04"/>
    <w:rsid w:val="009B333C"/>
    <w:rsid w:val="009C10D9"/>
    <w:rsid w:val="00A021E4"/>
    <w:rsid w:val="00A0432E"/>
    <w:rsid w:val="00A10C07"/>
    <w:rsid w:val="00A14133"/>
    <w:rsid w:val="00A322D6"/>
    <w:rsid w:val="00A36432"/>
    <w:rsid w:val="00A41BD1"/>
    <w:rsid w:val="00A43E8D"/>
    <w:rsid w:val="00A4B600"/>
    <w:rsid w:val="00A67464"/>
    <w:rsid w:val="00A8349D"/>
    <w:rsid w:val="00A91577"/>
    <w:rsid w:val="00AA719C"/>
    <w:rsid w:val="00AC6FDA"/>
    <w:rsid w:val="00AE23A0"/>
    <w:rsid w:val="00B368D0"/>
    <w:rsid w:val="00B51461"/>
    <w:rsid w:val="00B74AAE"/>
    <w:rsid w:val="00B832B7"/>
    <w:rsid w:val="00BA3995"/>
    <w:rsid w:val="00BA7508"/>
    <w:rsid w:val="00BD753A"/>
    <w:rsid w:val="00C4791B"/>
    <w:rsid w:val="00C57ED2"/>
    <w:rsid w:val="00C62C41"/>
    <w:rsid w:val="00C64FAA"/>
    <w:rsid w:val="00C7036E"/>
    <w:rsid w:val="00C74112"/>
    <w:rsid w:val="00C74C3D"/>
    <w:rsid w:val="00C82881"/>
    <w:rsid w:val="00C86E5A"/>
    <w:rsid w:val="00CA2DDF"/>
    <w:rsid w:val="00CD1163"/>
    <w:rsid w:val="00CD1B15"/>
    <w:rsid w:val="00D0326E"/>
    <w:rsid w:val="00D958D9"/>
    <w:rsid w:val="00DB13E1"/>
    <w:rsid w:val="00DC0A57"/>
    <w:rsid w:val="00DC6313"/>
    <w:rsid w:val="00E005D8"/>
    <w:rsid w:val="00E14F76"/>
    <w:rsid w:val="00E675B2"/>
    <w:rsid w:val="00E77480"/>
    <w:rsid w:val="00EB5C89"/>
    <w:rsid w:val="00F040D0"/>
    <w:rsid w:val="00F16B2B"/>
    <w:rsid w:val="00F26CAF"/>
    <w:rsid w:val="00F27696"/>
    <w:rsid w:val="00F642F6"/>
    <w:rsid w:val="00F67715"/>
    <w:rsid w:val="00F75B9F"/>
    <w:rsid w:val="00F87DFD"/>
    <w:rsid w:val="00F96B1B"/>
    <w:rsid w:val="00FA1335"/>
    <w:rsid w:val="00FC6E35"/>
    <w:rsid w:val="00FD3141"/>
    <w:rsid w:val="00FE6549"/>
    <w:rsid w:val="0C61E8F6"/>
    <w:rsid w:val="0DFDB957"/>
    <w:rsid w:val="0F3FA25D"/>
    <w:rsid w:val="0F7C74E1"/>
    <w:rsid w:val="11355A19"/>
    <w:rsid w:val="12D12A7A"/>
    <w:rsid w:val="1608CB3C"/>
    <w:rsid w:val="171DD5E8"/>
    <w:rsid w:val="1AE429E5"/>
    <w:rsid w:val="1C7FFA46"/>
    <w:rsid w:val="1D3D9EBA"/>
    <w:rsid w:val="1FB79B08"/>
    <w:rsid w:val="20AB8FD1"/>
    <w:rsid w:val="248B0C2B"/>
    <w:rsid w:val="2D36FA27"/>
    <w:rsid w:val="2FE21067"/>
    <w:rsid w:val="360C668A"/>
    <w:rsid w:val="3B34F684"/>
    <w:rsid w:val="3B71C908"/>
    <w:rsid w:val="3D6DB413"/>
    <w:rsid w:val="4114CDFC"/>
    <w:rsid w:val="425A4D93"/>
    <w:rsid w:val="42F1202A"/>
    <w:rsid w:val="432B94D9"/>
    <w:rsid w:val="433683A0"/>
    <w:rsid w:val="49FCD6BF"/>
    <w:rsid w:val="4DE4878E"/>
    <w:rsid w:val="537F8C32"/>
    <w:rsid w:val="582DBAAD"/>
    <w:rsid w:val="588748F2"/>
    <w:rsid w:val="5CFA0D95"/>
    <w:rsid w:val="5E98B988"/>
    <w:rsid w:val="5FF81594"/>
    <w:rsid w:val="64FF4FEC"/>
    <w:rsid w:val="657548F4"/>
    <w:rsid w:val="68BB8FC2"/>
    <w:rsid w:val="6BDBDF58"/>
    <w:rsid w:val="6E1C1BED"/>
    <w:rsid w:val="702E77EE"/>
    <w:rsid w:val="73876069"/>
    <w:rsid w:val="75FF5220"/>
    <w:rsid w:val="76C7A3C1"/>
    <w:rsid w:val="7C1C4876"/>
    <w:rsid w:val="7F4646EF"/>
  </w:rsids>
  <m:mathPr>
    <m:mathFont m:val="Cambria Math"/>
    <m:brkBin m:val="before"/>
    <m:brkBinSub m:val="--"/>
    <m:smallFrac/>
    <m:dispDef/>
    <m:lMargin m:val="0"/>
    <m:rMargin m:val="0"/>
    <m:defJc m:val="centerGroup"/>
    <m:wrapIndent m:val="1440"/>
    <m:intLim m:val="subSup"/>
    <m:naryLim m:val="undOvr"/>
  </m:mathPr>
  <w:themeFontLang w:val="pl-PL"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BFF1F"/>
  <w15:docId w15:val="{821529E7-308D-444F-9023-AD360C2B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60" w:line="228" w:lineRule="auto"/>
        <w:ind w:left="595" w:right="44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0212"/>
    <w:pPr>
      <w:spacing w:after="120" w:line="276" w:lineRule="auto"/>
      <w:ind w:left="0" w:right="284"/>
      <w:jc w:val="both"/>
    </w:pPr>
    <w:rPr>
      <w:rFonts w:ascii="Arial" w:hAnsi="Arial" w:cs="Arial"/>
      <w:sz w:val="20"/>
      <w:szCs w:val="20"/>
    </w:rPr>
  </w:style>
  <w:style w:type="paragraph" w:styleId="Nagwek1">
    <w:name w:val="heading 1"/>
    <w:basedOn w:val="Normalny"/>
    <w:next w:val="Normalny"/>
    <w:link w:val="Nagwek1Znak"/>
    <w:autoRedefine/>
    <w:uiPriority w:val="9"/>
    <w:qFormat/>
    <w:rsid w:val="00C74C3D"/>
    <w:pPr>
      <w:keepNext/>
      <w:keepLines/>
      <w:tabs>
        <w:tab w:val="left" w:pos="284"/>
      </w:tabs>
      <w:autoSpaceDE w:val="0"/>
      <w:autoSpaceDN w:val="0"/>
      <w:adjustRightInd w:val="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autoRedefine/>
    <w:uiPriority w:val="9"/>
    <w:unhideWhenUsed/>
    <w:qFormat/>
    <w:rsid w:val="00C74C3D"/>
    <w:pPr>
      <w:keepNext/>
      <w:keepLines/>
      <w:autoSpaceDE w:val="0"/>
      <w:autoSpaceDN w:val="0"/>
      <w:adjustRightInd w:val="0"/>
      <w:spacing w:before="200"/>
      <w:outlineLvl w:val="1"/>
    </w:pPr>
    <w:rPr>
      <w:rFonts w:asciiTheme="majorHAnsi" w:eastAsiaTheme="majorEastAsia" w:hAnsiTheme="majorHAnsi" w:cstheme="majorBidi"/>
      <w:b/>
      <w:bCs/>
      <w:sz w:val="26"/>
      <w:szCs w:val="26"/>
    </w:rPr>
  </w:style>
  <w:style w:type="paragraph" w:styleId="Nagwek3">
    <w:name w:val="heading 3"/>
    <w:basedOn w:val="Normalny"/>
    <w:link w:val="Nagwek3Znak"/>
    <w:uiPriority w:val="9"/>
    <w:qFormat/>
    <w:rsid w:val="00C74C3D"/>
    <w:pPr>
      <w:spacing w:before="100" w:beforeAutospacing="1" w:after="100" w:afterAutospacing="1"/>
      <w:outlineLvl w:val="2"/>
    </w:pPr>
    <w:rPr>
      <w:rFonts w:ascii="Times New Roman" w:eastAsia="Times New Roman" w:hAnsi="Times New Roman" w:cs="Times New Roman"/>
      <w:b/>
      <w:bCs/>
      <w:sz w:val="27"/>
      <w:szCs w:val="27"/>
      <w:lang w:eastAsia="pl-PL" w:bidi="bn-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74C3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C74C3D"/>
    <w:rPr>
      <w:rFonts w:asciiTheme="majorHAnsi" w:eastAsiaTheme="majorEastAsia" w:hAnsiTheme="majorHAnsi" w:cstheme="majorBidi"/>
      <w:b/>
      <w:bCs/>
      <w:sz w:val="26"/>
      <w:szCs w:val="26"/>
    </w:rPr>
  </w:style>
  <w:style w:type="paragraph" w:customStyle="1" w:styleId="H1">
    <w:name w:val="H1"/>
    <w:basedOn w:val="Normalny"/>
    <w:next w:val="Normalny"/>
    <w:qFormat/>
    <w:rsid w:val="00C74C3D"/>
    <w:pPr>
      <w:outlineLvl w:val="0"/>
    </w:pPr>
    <w:rPr>
      <w:rFonts w:eastAsia="Times New Roman"/>
      <w:b/>
      <w:bCs/>
      <w:color w:val="000000"/>
      <w:sz w:val="32"/>
      <w:szCs w:val="32"/>
      <w:lang w:eastAsia="pl-PL" w:bidi="bn-IN"/>
    </w:rPr>
  </w:style>
  <w:style w:type="paragraph" w:customStyle="1" w:styleId="H2">
    <w:name w:val="H2"/>
    <w:basedOn w:val="Normalny"/>
    <w:next w:val="Normalny"/>
    <w:qFormat/>
    <w:rsid w:val="00C74C3D"/>
    <w:pPr>
      <w:spacing w:before="240"/>
      <w:outlineLvl w:val="1"/>
    </w:pPr>
    <w:rPr>
      <w:rFonts w:eastAsia="Times New Roman"/>
      <w:b/>
      <w:bCs/>
      <w:color w:val="000000"/>
      <w:sz w:val="24"/>
      <w:lang w:eastAsia="pl-PL" w:bidi="bn-IN"/>
    </w:rPr>
  </w:style>
  <w:style w:type="paragraph" w:customStyle="1" w:styleId="H3">
    <w:name w:val="H3"/>
    <w:basedOn w:val="Normalny"/>
    <w:next w:val="Normalny"/>
    <w:qFormat/>
    <w:rsid w:val="00FA1335"/>
    <w:pPr>
      <w:spacing w:line="240" w:lineRule="auto"/>
      <w:ind w:left="284"/>
      <w:outlineLvl w:val="2"/>
    </w:pPr>
    <w:rPr>
      <w:rFonts w:eastAsiaTheme="majorEastAsia"/>
      <w:b/>
      <w:bCs/>
      <w:sz w:val="22"/>
      <w:szCs w:val="22"/>
      <w:lang w:eastAsia="pl-PL" w:bidi="bn-IN"/>
    </w:rPr>
  </w:style>
  <w:style w:type="character" w:customStyle="1" w:styleId="Nagwek3Znak">
    <w:name w:val="Nagłówek 3 Znak"/>
    <w:basedOn w:val="Domylnaczcionkaakapitu"/>
    <w:link w:val="Nagwek3"/>
    <w:uiPriority w:val="9"/>
    <w:rsid w:val="00C74C3D"/>
    <w:rPr>
      <w:rFonts w:ascii="Times New Roman" w:eastAsia="Times New Roman" w:hAnsi="Times New Roman" w:cs="Times New Roman"/>
      <w:b/>
      <w:bCs/>
      <w:sz w:val="27"/>
      <w:szCs w:val="27"/>
      <w:lang w:eastAsia="pl-PL" w:bidi="bn-IN"/>
    </w:rPr>
  </w:style>
  <w:style w:type="paragraph" w:styleId="NormalnyWeb">
    <w:name w:val="Normal (Web)"/>
    <w:basedOn w:val="Normalny"/>
    <w:uiPriority w:val="99"/>
    <w:semiHidden/>
    <w:unhideWhenUsed/>
    <w:rsid w:val="00BA7508"/>
    <w:pPr>
      <w:spacing w:before="100" w:beforeAutospacing="1" w:after="100" w:afterAutospacing="1"/>
    </w:pPr>
    <w:rPr>
      <w:rFonts w:ascii="Times New Roman" w:eastAsia="Times New Roman" w:hAnsi="Times New Roman"/>
      <w:sz w:val="24"/>
      <w:lang w:eastAsia="pl-PL" w:bidi="bn-IN"/>
    </w:rPr>
  </w:style>
  <w:style w:type="character" w:styleId="Hipercze">
    <w:name w:val="Hyperlink"/>
    <w:basedOn w:val="Domylnaczcionkaakapitu"/>
    <w:uiPriority w:val="99"/>
    <w:semiHidden/>
    <w:unhideWhenUsed/>
    <w:rsid w:val="00BA7508"/>
    <w:rPr>
      <w:color w:val="0000FF"/>
      <w:u w:val="single"/>
    </w:rPr>
  </w:style>
  <w:style w:type="character" w:styleId="Pogrubienie">
    <w:name w:val="Strong"/>
    <w:basedOn w:val="Domylnaczcionkaakapitu"/>
    <w:uiPriority w:val="22"/>
    <w:qFormat/>
    <w:rsid w:val="00C74C3D"/>
    <w:rPr>
      <w:b/>
      <w:bCs/>
    </w:rPr>
  </w:style>
  <w:style w:type="paragraph" w:styleId="Akapitzlist">
    <w:name w:val="List Paragraph"/>
    <w:basedOn w:val="Normalny"/>
    <w:uiPriority w:val="34"/>
    <w:qFormat/>
    <w:rsid w:val="00C74C3D"/>
    <w:pPr>
      <w:ind w:left="720"/>
      <w:contextualSpacing/>
    </w:pPr>
  </w:style>
  <w:style w:type="character" w:styleId="Odwoaniedokomentarza">
    <w:name w:val="annotation reference"/>
    <w:basedOn w:val="Domylnaczcionkaakapitu"/>
    <w:uiPriority w:val="99"/>
    <w:semiHidden/>
    <w:unhideWhenUsed/>
    <w:rsid w:val="00141633"/>
    <w:rPr>
      <w:sz w:val="16"/>
      <w:szCs w:val="16"/>
    </w:rPr>
  </w:style>
  <w:style w:type="paragraph" w:styleId="Tekstkomentarza">
    <w:name w:val="annotation text"/>
    <w:basedOn w:val="Normalny"/>
    <w:link w:val="TekstkomentarzaZnak"/>
    <w:uiPriority w:val="99"/>
    <w:semiHidden/>
    <w:unhideWhenUsed/>
    <w:rsid w:val="00141633"/>
    <w:pPr>
      <w:spacing w:line="240" w:lineRule="auto"/>
    </w:pPr>
  </w:style>
  <w:style w:type="character" w:customStyle="1" w:styleId="TekstkomentarzaZnak">
    <w:name w:val="Tekst komentarza Znak"/>
    <w:basedOn w:val="Domylnaczcionkaakapitu"/>
    <w:link w:val="Tekstkomentarza"/>
    <w:uiPriority w:val="99"/>
    <w:semiHidden/>
    <w:rsid w:val="00141633"/>
    <w:rPr>
      <w:rFonts w:ascii="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141633"/>
    <w:rPr>
      <w:b/>
      <w:bCs/>
    </w:rPr>
  </w:style>
  <w:style w:type="character" w:customStyle="1" w:styleId="TematkomentarzaZnak">
    <w:name w:val="Temat komentarza Znak"/>
    <w:basedOn w:val="TekstkomentarzaZnak"/>
    <w:link w:val="Tematkomentarza"/>
    <w:uiPriority w:val="99"/>
    <w:semiHidden/>
    <w:rsid w:val="00141633"/>
    <w:rPr>
      <w:rFonts w:ascii="Arial" w:hAnsi="Arial" w:cs="Arial"/>
      <w:b/>
      <w:bCs/>
      <w:sz w:val="20"/>
      <w:szCs w:val="20"/>
    </w:rPr>
  </w:style>
  <w:style w:type="paragraph" w:styleId="Tekstdymka">
    <w:name w:val="Balloon Text"/>
    <w:basedOn w:val="Normalny"/>
    <w:link w:val="TekstdymkaZnak"/>
    <w:uiPriority w:val="99"/>
    <w:semiHidden/>
    <w:unhideWhenUsed/>
    <w:rsid w:val="00141633"/>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1633"/>
    <w:rPr>
      <w:rFonts w:ascii="Tahoma" w:hAnsi="Tahoma" w:cs="Tahoma"/>
      <w:sz w:val="16"/>
      <w:szCs w:val="16"/>
    </w:rPr>
  </w:style>
  <w:style w:type="character" w:styleId="Wzmianka">
    <w:name w:val="Mention"/>
    <w:basedOn w:val="Domylnaczcionkaakapitu"/>
    <w:uiPriority w:val="99"/>
    <w:unhideWhenUsed/>
    <w:rPr>
      <w:color w:val="2B579A"/>
      <w:shd w:val="clear" w:color="auto" w:fill="E6E6E6"/>
    </w:rPr>
  </w:style>
  <w:style w:type="paragraph" w:styleId="Nagwek">
    <w:name w:val="header"/>
    <w:basedOn w:val="Normalny"/>
    <w:link w:val="NagwekZnak"/>
    <w:uiPriority w:val="99"/>
    <w:unhideWhenUsed/>
    <w:rsid w:val="0011030C"/>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11030C"/>
    <w:rPr>
      <w:rFonts w:ascii="Arial" w:hAnsi="Arial" w:cs="Arial"/>
      <w:sz w:val="20"/>
      <w:szCs w:val="20"/>
    </w:rPr>
  </w:style>
  <w:style w:type="paragraph" w:styleId="Stopka">
    <w:name w:val="footer"/>
    <w:basedOn w:val="Normalny"/>
    <w:link w:val="StopkaZnak"/>
    <w:uiPriority w:val="99"/>
    <w:unhideWhenUsed/>
    <w:rsid w:val="0011030C"/>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11030C"/>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75391">
      <w:bodyDiv w:val="1"/>
      <w:marLeft w:val="0"/>
      <w:marRight w:val="0"/>
      <w:marTop w:val="0"/>
      <w:marBottom w:val="0"/>
      <w:divBdr>
        <w:top w:val="none" w:sz="0" w:space="0" w:color="auto"/>
        <w:left w:val="none" w:sz="0" w:space="0" w:color="auto"/>
        <w:bottom w:val="none" w:sz="0" w:space="0" w:color="auto"/>
        <w:right w:val="none" w:sz="0" w:space="0" w:color="auto"/>
      </w:divBdr>
    </w:div>
    <w:div w:id="1106072894">
      <w:bodyDiv w:val="1"/>
      <w:marLeft w:val="0"/>
      <w:marRight w:val="0"/>
      <w:marTop w:val="0"/>
      <w:marBottom w:val="0"/>
      <w:divBdr>
        <w:top w:val="none" w:sz="0" w:space="0" w:color="auto"/>
        <w:left w:val="none" w:sz="0" w:space="0" w:color="auto"/>
        <w:bottom w:val="none" w:sz="0" w:space="0" w:color="auto"/>
        <w:right w:val="none" w:sz="0" w:space="0" w:color="auto"/>
      </w:divBdr>
    </w:div>
    <w:div w:id="1280918739">
      <w:bodyDiv w:val="1"/>
      <w:marLeft w:val="0"/>
      <w:marRight w:val="0"/>
      <w:marTop w:val="0"/>
      <w:marBottom w:val="0"/>
      <w:divBdr>
        <w:top w:val="none" w:sz="0" w:space="0" w:color="auto"/>
        <w:left w:val="none" w:sz="0" w:space="0" w:color="auto"/>
        <w:bottom w:val="none" w:sz="0" w:space="0" w:color="auto"/>
        <w:right w:val="none" w:sz="0" w:space="0" w:color="auto"/>
      </w:divBdr>
    </w:div>
    <w:div w:id="1710298830">
      <w:bodyDiv w:val="1"/>
      <w:marLeft w:val="0"/>
      <w:marRight w:val="0"/>
      <w:marTop w:val="0"/>
      <w:marBottom w:val="0"/>
      <w:divBdr>
        <w:top w:val="none" w:sz="0" w:space="0" w:color="auto"/>
        <w:left w:val="none" w:sz="0" w:space="0" w:color="auto"/>
        <w:bottom w:val="none" w:sz="0" w:space="0" w:color="auto"/>
        <w:right w:val="none" w:sz="0" w:space="0" w:color="auto"/>
      </w:divBdr>
    </w:div>
    <w:div w:id="206721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ntfi.pl/finanse-po-godzinach/poznalismy-liderow-esg" TargetMode="External"/><Relationship Id="rId3" Type="http://schemas.openxmlformats.org/officeDocument/2006/relationships/settings" Target="settings.xml"/><Relationship Id="rId7" Type="http://schemas.openxmlformats.org/officeDocument/2006/relationships/hyperlink" Target="https://startup.pfr.pl/pl/aktualnosci/esg-kto-bedzie-musial-skladac-raporty-i-jak/" TargetMode="External"/><Relationship Id="rId12" Type="http://schemas.microsoft.com/office/2019/05/relationships/documenttasks" Target="documenttasks/documenttask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C324F1C-1590-4B88-B955-7865505C339D}">
    <t:Anchor>
      <t:Comment id="179537239"/>
    </t:Anchor>
    <t:History>
      <t:Event id="{53F2212A-C9DC-4A0D-AD1D-D0FB5CFCB35B}" time="2022-11-02T07:07:59.162Z">
        <t:Attribution userId="S::a.golawska@contec.tech::aaf1ba84-2841-4368-b9c8-ad07be5aea41" userProvider="AD" userName="Anna Goławska"/>
        <t:Anchor>
          <t:Comment id="179537239"/>
        </t:Anchor>
        <t:Create/>
      </t:Event>
      <t:Event id="{1B9B1659-7A8C-431F-9AF6-D986433ACBF9}" time="2022-11-02T07:07:59.162Z">
        <t:Attribution userId="S::a.golawska@contec.tech::aaf1ba84-2841-4368-b9c8-ad07be5aea41" userProvider="AD" userName="Anna Goławska"/>
        <t:Anchor>
          <t:Comment id="179537239"/>
        </t:Anchor>
        <t:Assign userId="S::p.miednik@contec.tech::7fe93a47-4fc8-4d48-a68e-7d810c25ca00" userProvider="AD" userName="Piotr Miednik"/>
      </t:Event>
      <t:Event id="{C66D82B2-38BD-4696-816E-61E44D13D691}" time="2022-11-02T07:07:59.162Z">
        <t:Attribution userId="S::a.golawska@contec.tech::aaf1ba84-2841-4368-b9c8-ad07be5aea41" userProvider="AD" userName="Anna Goławska"/>
        <t:Anchor>
          <t:Comment id="179537239"/>
        </t:Anchor>
        <t:SetTitle title="@Piotr Miednik tu też - dasz radę zerknąć w tym tygodniu?"/>
      </t:Event>
      <t:Event id="{E4FC417A-3D7C-463E-9A8B-74C119785F6B}" time="2022-12-12T13:29:43.159Z">
        <t:Attribution userId="S::a.golawska@contec.tech::aaf1ba84-2841-4368-b9c8-ad07be5aea41" userProvider="AD" userName="Anna Goławska"/>
        <t:Progress percentComplete="100"/>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595</Words>
  <Characters>3954</Characters>
  <Application>Microsoft Office Word</Application>
  <DocSecurity>0</DocSecurity>
  <Lines>89</Lines>
  <Paragraphs>59</Paragraphs>
  <ScaleCrop>false</ScaleCrop>
  <Company>Sela</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dc:creator>
  <cp:lastModifiedBy>Małgorzata Knapik</cp:lastModifiedBy>
  <cp:revision>15</cp:revision>
  <dcterms:created xsi:type="dcterms:W3CDTF">2022-10-03T12:21:00Z</dcterms:created>
  <dcterms:modified xsi:type="dcterms:W3CDTF">2022-12-14T09:29:00Z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5ca03cb48eeee50d678444321839e84608a995a8640a6cd5a2ffc27cbf43b1d3</vt:lpwstr>
  </property>
</Properties>
</file>