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B4" w:rsidRPr="00BE52F1" w:rsidRDefault="00D87157" w:rsidP="00D06F80">
      <w:pPr>
        <w:spacing w:after="120" w:line="276" w:lineRule="auto"/>
        <w:rPr>
          <w:rFonts w:ascii="Tahoma" w:hAnsi="Tahoma" w:cs="Tahoma"/>
          <w:sz w:val="24"/>
          <w:szCs w:val="24"/>
        </w:rPr>
      </w:pPr>
      <w:r w:rsidRPr="00BE52F1">
        <w:rPr>
          <w:rFonts w:ascii="Tahoma" w:hAnsi="Tahoma" w:cs="Tahoma"/>
          <w:sz w:val="24"/>
          <w:szCs w:val="24"/>
        </w:rPr>
        <w:t>Informacja prasowa</w:t>
      </w:r>
      <w:bookmarkStart w:id="0" w:name="_GoBack"/>
      <w:bookmarkEnd w:id="0"/>
    </w:p>
    <w:p w:rsidR="00360555" w:rsidRPr="00BE52F1" w:rsidRDefault="00360555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4C0A9A" w:rsidRPr="00BE52F1" w:rsidRDefault="00BE52F1" w:rsidP="001E4B6E">
      <w:pPr>
        <w:pStyle w:val="Akapitzlist"/>
        <w:spacing w:line="36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6</w:t>
      </w:r>
      <w:r w:rsidR="00321934" w:rsidRPr="00BE52F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 decyzji marketingowych na wrzesień. Czy </w:t>
      </w:r>
      <w: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masz je na swojej liście?</w:t>
      </w:r>
      <w:r w:rsidR="00321934" w:rsidRPr="00BE52F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E5976" w:rsidRPr="00BE52F1" w:rsidRDefault="009E5976" w:rsidP="009E5976">
      <w:pPr>
        <w:pStyle w:val="Akapitzlist"/>
        <w:spacing w:line="36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06F80" w:rsidRPr="00BE52F1" w:rsidRDefault="009E5976" w:rsidP="009E5976">
      <w:pPr>
        <w:pStyle w:val="Akapitzlist"/>
        <w:spacing w:line="36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BE52F1">
        <w:rPr>
          <w:rFonts w:ascii="Tahoma" w:hAnsi="Tahoma" w:cs="Tahoma"/>
          <w:b/>
          <w:bCs/>
          <w:color w:val="000000"/>
          <w:sz w:val="24"/>
          <w:szCs w:val="24"/>
        </w:rPr>
        <w:t>Każdy z nas podejmuje cod</w:t>
      </w:r>
      <w:r w:rsidR="004C0A9A"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ziennie ponad </w:t>
      </w:r>
      <w:r w:rsidR="005D60D8"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70 decyzji. Znaczna część z nich dotyczy sfery zawodowej. </w:t>
      </w:r>
      <w:r w:rsidR="002306E2" w:rsidRPr="00BE52F1">
        <w:rPr>
          <w:rFonts w:ascii="Tahoma" w:hAnsi="Tahoma" w:cs="Tahoma"/>
          <w:b/>
          <w:bCs/>
          <w:color w:val="000000"/>
          <w:sz w:val="24"/>
          <w:szCs w:val="24"/>
        </w:rPr>
        <w:t>Szybko zmieniające się t</w:t>
      </w:r>
      <w:r w:rsidR="005D60D8"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rendy na rynku, </w:t>
      </w:r>
      <w:r w:rsidRPr="00BE52F1">
        <w:rPr>
          <w:rFonts w:ascii="Tahoma" w:hAnsi="Tahoma" w:cs="Tahoma"/>
          <w:b/>
          <w:bCs/>
          <w:color w:val="000000"/>
          <w:sz w:val="24"/>
          <w:szCs w:val="24"/>
        </w:rPr>
        <w:t>nadmiar</w:t>
      </w:r>
      <w:r w:rsidR="00EE62B6"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 informacji, </w:t>
      </w:r>
      <w:r w:rsidR="005D60D8"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sezonowość, a czasem… nawet </w:t>
      </w:r>
      <w:r w:rsidR="00EE62B6" w:rsidRPr="00BE52F1">
        <w:rPr>
          <w:rFonts w:ascii="Tahoma" w:hAnsi="Tahoma" w:cs="Tahoma"/>
          <w:b/>
          <w:bCs/>
          <w:color w:val="000000"/>
          <w:sz w:val="24"/>
          <w:szCs w:val="24"/>
        </w:rPr>
        <w:t>niezbyt</w:t>
      </w:r>
      <w:r w:rsidR="005D60D8"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 przemyślana w</w:t>
      </w:r>
      <w:r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pływowej </w:t>
      </w:r>
      <w:r w:rsidR="005D60D8"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osoby. </w:t>
      </w:r>
      <w:r w:rsidR="00A937ED" w:rsidRPr="00BE52F1">
        <w:rPr>
          <w:rFonts w:ascii="Tahoma" w:hAnsi="Tahoma" w:cs="Tahoma"/>
          <w:b/>
          <w:bCs/>
          <w:color w:val="000000"/>
          <w:sz w:val="24"/>
          <w:szCs w:val="24"/>
        </w:rPr>
        <w:t>Każde z nich może wpłynąć na</w:t>
      </w:r>
      <w:r w:rsid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 naszą decyzję, a</w:t>
      </w:r>
      <w:r w:rsidR="00A937ED"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 ostateczne </w:t>
      </w:r>
      <w:r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- </w:t>
      </w:r>
      <w:r w:rsidR="002306E2" w:rsidRPr="00BE52F1">
        <w:rPr>
          <w:rFonts w:ascii="Tahoma" w:hAnsi="Tahoma" w:cs="Tahoma"/>
          <w:b/>
          <w:bCs/>
          <w:color w:val="000000"/>
          <w:sz w:val="24"/>
          <w:szCs w:val="24"/>
        </w:rPr>
        <w:t>skutki</w:t>
      </w:r>
      <w:r w:rsidR="00A937ED"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374CE5" w:rsidRPr="00BE52F1">
        <w:rPr>
          <w:rFonts w:ascii="Tahoma" w:hAnsi="Tahoma" w:cs="Tahoma"/>
          <w:b/>
          <w:bCs/>
          <w:color w:val="000000"/>
          <w:sz w:val="24"/>
          <w:szCs w:val="24"/>
        </w:rPr>
        <w:t>realizowanej strategii marketingowej</w:t>
      </w:r>
      <w:r w:rsidR="00A937ED"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. </w:t>
      </w:r>
      <w:r w:rsidR="005D60D8"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Jakie kroki i narzędzia zatem wykorzystać, by </w:t>
      </w:r>
      <w:r w:rsidR="00374CE5"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strategia marketingowa przyniosła zamierzone efekty? </w:t>
      </w:r>
      <w:r w:rsidRP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Przedstawiamy wielką </w:t>
      </w:r>
      <w:r w:rsidR="00BE52F1" w:rsidRPr="00BE52F1">
        <w:rPr>
          <w:rFonts w:ascii="Tahoma" w:hAnsi="Tahoma" w:cs="Tahoma"/>
          <w:b/>
          <w:bCs/>
          <w:color w:val="000000"/>
          <w:sz w:val="24"/>
          <w:szCs w:val="24"/>
        </w:rPr>
        <w:t>szóstkę</w:t>
      </w:r>
      <w:r w:rsidR="00BE52F1">
        <w:rPr>
          <w:rFonts w:ascii="Tahoma" w:hAnsi="Tahoma" w:cs="Tahoma"/>
          <w:b/>
          <w:bCs/>
          <w:color w:val="000000"/>
          <w:sz w:val="24"/>
          <w:szCs w:val="24"/>
        </w:rPr>
        <w:t xml:space="preserve">. </w:t>
      </w:r>
    </w:p>
    <w:p w:rsidR="009E5976" w:rsidRPr="00BE52F1" w:rsidRDefault="009E5976" w:rsidP="009E5976">
      <w:pPr>
        <w:pStyle w:val="Akapitzlist"/>
        <w:spacing w:line="36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E52F1" w:rsidRPr="00BE52F1" w:rsidRDefault="00BE52F1" w:rsidP="00BE52F1">
      <w:pPr>
        <w:spacing w:line="360" w:lineRule="auto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Skład? 100% treści w treści </w:t>
      </w:r>
    </w:p>
    <w:p w:rsidR="00BE52F1" w:rsidRDefault="00BE52F1" w:rsidP="00BE52F1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Podczas paru minut, które poświęcasz na przeczytanie tego artykułu, w Internecie powstało już kilka tysięcy nowych. W ciągu 24 godzin opublikowanych ich będzie łącznie kilka milionów. Do tego należy dodać, że przeciętny internauta nie czyta, a skanuje treści, i tylko 1 na 10 odbiorców zadaje sobie trud, by zagłębić się w materiały. Generowanych jest zatem mnóstwo mało istotnych treści, które nie trafiają do ostatecznego odbiorcy. Nie oznacza to, że trzeba zrezygnować z content marketingu. Wręcz przeciwnie - działać, ale mądrze. Wielu marketingowców ma już tego świadomość. Jak podaje raport Ascend2 „Marketing Technology </w:t>
      </w:r>
      <w:proofErr w:type="spellStart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Trends</w:t>
      </w:r>
      <w:proofErr w:type="spellEnd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”, osoby odpowiedzialne za marketing w firmach, za najbardziej efektywną technologię uznają obecnie właśnie content marketing (51%). Eksperci wysnuwają nawet hipotezy mówiące, że „content </w:t>
      </w:r>
      <w:proofErr w:type="spellStart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is</w:t>
      </w:r>
      <w:proofErr w:type="spellEnd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new</w:t>
      </w:r>
      <w:proofErr w:type="spellEnd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SEO”, gdyż dostarczając wartościowe treści, możemy zwiększyć świadomość marki w Internecie, jednocześnie uzyskując wysoką pozycję w wyszukiwarkach. Tu jednak też czeka na nas pułapka - cykl życia informacji w Internecie jest na tyle krótki, że już po paru godzinach wiadomość spada na kolejną stronę, będąc zastąpiona następnym newsem. Na szczęście i na to można znaleźć rozwiązanie. </w:t>
      </w:r>
    </w:p>
    <w:p w:rsidR="00BE52F1" w:rsidRPr="00BE52F1" w:rsidRDefault="00BE52F1" w:rsidP="00BE52F1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D06F80" w:rsidRPr="00BE52F1" w:rsidRDefault="00EE62B6" w:rsidP="00D06F80">
      <w:pPr>
        <w:spacing w:line="360" w:lineRule="auto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Wykorzystuj możliwości swojego Ferrari</w:t>
      </w:r>
    </w:p>
    <w:p w:rsidR="00D06F80" w:rsidRPr="00BE52F1" w:rsidRDefault="00D06F80" w:rsidP="00D06F80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Badania serwisu </w:t>
      </w:r>
      <w:proofErr w:type="spellStart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Statista</w:t>
      </w:r>
      <w:proofErr w:type="spellEnd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wykazały, że w 2018 roku aż 1,79 miliarda osób dokonywało zakupów przez </w:t>
      </w:r>
      <w:r w:rsidR="004C0A9A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Internet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a prognoza na najbliższe lata zakłada nawet 20% wzrost tej liczby. Stwarza to szansę, 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która przy wykorzystaniu odpowiednich narzędzi wsparcia sprzedaży online może okazać się trampoliną do znaczącego wzrostu całej organizacji. Oczywiście możemy korzystać</w:t>
      </w:r>
      <w:r w:rsidR="000B02A0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z pozytywnej sytuacji na rynku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i „płynąć z prądem”, nie robiąc nic. Jest to jednak jak jazda Ferrari 60 km/h po autostradzie</w:t>
      </w:r>
      <w:r w:rsidR="000B02A0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Je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dziemy, lec</w:t>
      </w:r>
      <w:r w:rsidR="00A7711A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z moglibyśmy robić to szybciej. E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fektywniej. </w:t>
      </w:r>
    </w:p>
    <w:p w:rsidR="00D06F80" w:rsidRPr="00BE52F1" w:rsidRDefault="009E5976" w:rsidP="009E5976">
      <w:pPr>
        <w:tabs>
          <w:tab w:val="left" w:pos="6663"/>
          <w:tab w:val="left" w:pos="7371"/>
          <w:tab w:val="left" w:pos="10490"/>
        </w:tabs>
        <w:spacing w:line="360" w:lineRule="auto"/>
        <w:ind w:right="-63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- </w:t>
      </w:r>
      <w:r w:rsidR="00D06F80"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Faktem jest, że rozwój nowoczesnych technologii wpłynął na dostępną liczbę narzędzi. Podczas wyboru najkorzystniejszego narzędzia wsparcia sprzedaży, należy pamiętać, że pierwszym krokiem do zawarcia transakcji jest optymalnie zaprojektowany lejek sprzedażowy</w:t>
      </w:r>
      <w:r w:rsidR="00D06F80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- zaznacza 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Sebastian </w:t>
      </w:r>
      <w:proofErr w:type="spellStart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Kopiej</w:t>
      </w:r>
      <w:proofErr w:type="spellEnd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z </w:t>
      </w:r>
      <w:r w:rsidR="00D06F80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Commplace.</w:t>
      </w:r>
      <w:r w:rsidR="00D06F80" w:rsidRPr="00BE52F1">
        <w:rPr>
          <w:rFonts w:ascii="Tahoma" w:hAnsi="Tahoma" w:cs="Tahoma"/>
          <w:i/>
          <w:noProof/>
          <w:sz w:val="24"/>
          <w:szCs w:val="24"/>
          <w:lang w:bidi="ar-SA"/>
        </w:rPr>
        <w:t xml:space="preserve"> </w:t>
      </w:r>
      <w:r w:rsidR="00D06F80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- </w:t>
      </w:r>
      <w:r w:rsidR="00D06F80"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Efektywność </w:t>
      </w:r>
      <w:r w:rsidR="000B02A0"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l</w:t>
      </w:r>
      <w:r w:rsidR="00B4274A"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ejka</w:t>
      </w:r>
      <w:r w:rsidR="000B02A0"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sprzedażowego</w:t>
      </w:r>
      <w:r w:rsidR="00D06F80"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będzie mieć swoje odzwierciedlenie w wyni</w:t>
      </w:r>
      <w:r w:rsidR="00580DFD"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ku finansowym przedsiębiorstwa. </w:t>
      </w:r>
      <w:r w:rsidR="00D06F80"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W okresie wyprzedaży umiejętne wykorzystanie zasobów i zaplanowanie działań może podnieść sprzedaż nawet o 40% jednego dnia. To sporo. Dlatego tak istotne jest, by </w:t>
      </w:r>
      <w:r w:rsidR="00A7711A"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używać rozwiązań</w:t>
      </w:r>
      <w:r w:rsidR="00D06F80"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, które mogą pomóc </w:t>
      </w:r>
      <w:r w:rsidR="00A7711A"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w pełni </w:t>
      </w:r>
      <w:r w:rsidR="00D06F80"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wykorzystać aktualną sytuację na rynku</w:t>
      </w:r>
      <w:r w:rsidR="00D06F80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- dodaje ekspert z Commplace. </w:t>
      </w:r>
    </w:p>
    <w:p w:rsidR="00D06F80" w:rsidRPr="00BE52F1" w:rsidRDefault="00D06F80" w:rsidP="00D06F80">
      <w:pPr>
        <w:tabs>
          <w:tab w:val="left" w:pos="10632"/>
        </w:tabs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9E5976" w:rsidRPr="00BE52F1" w:rsidRDefault="009E5976" w:rsidP="00D06F80">
      <w:pPr>
        <w:spacing w:line="360" w:lineRule="auto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proofErr w:type="spellStart"/>
      <w:r w:rsidRPr="00BE52F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Outdoor</w:t>
      </w:r>
      <w:proofErr w:type="spellEnd"/>
      <w:r w:rsidRPr="00BE52F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, czyli sposób na wzmocnienie świadomości marki w terenie</w:t>
      </w:r>
    </w:p>
    <w:p w:rsidR="009E5976" w:rsidRPr="00BE52F1" w:rsidRDefault="009E5976" w:rsidP="009E5976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Wykorzystanie reklam w przestrzeni publicznej stanowi niezwykle skuteczną strategię marketingową, zapewniającą znaczną widoczność oraz docieranie do szerokiego grona odbiorców. Umieszczenie plakatów, billboardów i banerów w kluczowych lokalizacjach, takich jak ruchliwe ulice, skrzyżowania czy centra handlowe, przyciąga uwagę potencjalnych klientów.</w:t>
      </w:r>
    </w:p>
    <w:p w:rsidR="00D06F80" w:rsidRPr="00BE52F1" w:rsidRDefault="009E5976" w:rsidP="009E5976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- </w:t>
      </w:r>
      <w:r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Reklamy </w:t>
      </w:r>
      <w:proofErr w:type="spellStart"/>
      <w:r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outdoorowe</w:t>
      </w:r>
      <w:proofErr w:type="spellEnd"/>
      <w:r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działają przez całą dobę, dzięki swojej obecności na otwartej przestrzeni, co pozwala przekazywać komunikat reklamowy również w momentach, gdy inne media mogą być niedostępne. To sprawia, że są szczególnie skuteczne dla firm i marek, które dążą do utrzymania stałej obec</w:t>
      </w:r>
      <w:r w:rsidRPr="00BE52F1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ności w świadomości konsumentów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- podkreśla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Robert Dąbrowski, CEO </w:t>
      </w:r>
      <w:proofErr w:type="spellStart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Recevent</w:t>
      </w:r>
      <w:proofErr w:type="spellEnd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</w:t>
      </w:r>
    </w:p>
    <w:p w:rsidR="009E5976" w:rsidRPr="00BE52F1" w:rsidRDefault="009E5976" w:rsidP="009E5976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D06F80" w:rsidRPr="00BE52F1" w:rsidRDefault="004C0A9A" w:rsidP="00D06F80">
      <w:pPr>
        <w:spacing w:line="360" w:lineRule="auto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Wybór, nie loteria</w:t>
      </w:r>
    </w:p>
    <w:p w:rsidR="00D06F80" w:rsidRPr="00BE52F1" w:rsidRDefault="00D06F80" w:rsidP="00D06F80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Skuteczny marketingowiec ma świadomość, że uniwersalne rozwiązania i wskaźniki nie istnieją. Ich dobór powinien zależeć od dwóch zmiennych - celów biznesowych oraz sektora, w którym działamy. W branży e-commerce oczekiwanym działaniem będzie dokonanie zakupu, lecz w przypadku portalu informacyjnego, efektem kampanii może być zapisanie się na newsletter. </w:t>
      </w:r>
    </w:p>
    <w:p w:rsidR="00D06F80" w:rsidRPr="00BE52F1" w:rsidRDefault="00D06F80" w:rsidP="00D06F80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Wskaźnik konwersji nie musi być stały - zdarza się, że w miarę rozwoju firmy lub cyklu życia 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produktu ewoluuje - tłumaczy Bartosz Zieliński z Commplace,</w:t>
      </w:r>
      <w:r w:rsidR="000B02A0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dodając, że trzeba pamiętać, by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narzędzia, które wykorzystywane zostaną do gen</w:t>
      </w:r>
      <w:r w:rsidR="000B02A0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erowania konwersji, nie były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zawieszone w próżni. Każdy z elementów marketingowej maszyny powinien być scalony z innym, by dzięki synergii tworzyć dobrze działający mechanizm.</w:t>
      </w:r>
    </w:p>
    <w:p w:rsidR="009E5976" w:rsidRPr="00BE52F1" w:rsidRDefault="009E5976" w:rsidP="00D06F80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9E5976" w:rsidRPr="00BE52F1" w:rsidRDefault="009E5976" w:rsidP="00D06F80">
      <w:pPr>
        <w:spacing w:line="360" w:lineRule="auto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Postaw na małe miasteczka</w:t>
      </w:r>
    </w:p>
    <w:p w:rsidR="00BE52F1" w:rsidRPr="00BE52F1" w:rsidRDefault="009E5976" w:rsidP="00D06F80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Według informacji dostarczonych przez firmę OOH.pl, blisko 31 milionów Polaków zamieszkuje miasta o populacji do 200 tysięcy mieszkańców. </w:t>
      </w:r>
      <w:r w:rsidR="00BE52F1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Kampanie 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OOH posiadają </w:t>
      </w:r>
      <w:r w:rsidR="00BE52F1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zatem 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wyjątkow</w:t>
      </w:r>
      <w:r w:rsidR="00BE52F1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y potencjał reklamowy 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nie tylko w obszarach metropolitarnych, ale również w okolicznych miastach oraz mniejszych osadach. Dlaczego? </w:t>
      </w:r>
      <w:r w:rsidR="00BE52F1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Jak mówi 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Sylwia </w:t>
      </w:r>
      <w:proofErr w:type="spellStart"/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Krysik-Myśliwi</w:t>
      </w:r>
      <w:r w:rsidR="00BE52F1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ec</w:t>
      </w:r>
      <w:proofErr w:type="spellEnd"/>
      <w:r w:rsidR="00BE52F1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reprezentująca firmę OOH.pl: </w:t>
      </w:r>
      <w:r w:rsidR="00BE52F1" w:rsidRPr="00BE52F1">
        <w:rPr>
          <w:rStyle w:val="Uwydatnienie"/>
          <w:rFonts w:ascii="Tahoma" w:hAnsi="Tahoma" w:cs="Tahoma"/>
          <w:color w:val="1D1D1B"/>
          <w:sz w:val="24"/>
          <w:szCs w:val="24"/>
          <w:shd w:val="clear" w:color="auto" w:fill="FFFFFF"/>
        </w:rPr>
        <w:t xml:space="preserve">Obserwujemy silną migrację z miast do tak zwanych sypialni, wynikającą z wielu czynników m.in. politycznych, czy gospodarczych. Coraz chętniej osiedlamy się pod Warszawą, Krakowem, Wrocławiem czy Łodzią. Co to w praktyce oznacza dla reklamodawców? Decentralizację i przesunięcie potencjału reklamowego poza aglomeracje, a co za tym idzie zwiększony potencjał reklamy </w:t>
      </w:r>
      <w:proofErr w:type="spellStart"/>
      <w:r w:rsidR="00BE52F1" w:rsidRPr="00BE52F1">
        <w:rPr>
          <w:rStyle w:val="Uwydatnienie"/>
          <w:rFonts w:ascii="Tahoma" w:hAnsi="Tahoma" w:cs="Tahoma"/>
          <w:color w:val="1D1D1B"/>
          <w:sz w:val="24"/>
          <w:szCs w:val="24"/>
          <w:shd w:val="clear" w:color="auto" w:fill="FFFFFF"/>
        </w:rPr>
        <w:t>outdoorowej</w:t>
      </w:r>
      <w:proofErr w:type="spellEnd"/>
      <w:r w:rsidR="00BE52F1" w:rsidRPr="00BE52F1">
        <w:rPr>
          <w:rStyle w:val="Uwydatnienie"/>
          <w:rFonts w:ascii="Tahoma" w:hAnsi="Tahoma" w:cs="Tahoma"/>
          <w:color w:val="1D1D1B"/>
          <w:sz w:val="24"/>
          <w:szCs w:val="24"/>
          <w:shd w:val="clear" w:color="auto" w:fill="FFFFFF"/>
        </w:rPr>
        <w:t xml:space="preserve"> w mniejszych miejscowościach</w:t>
      </w:r>
      <w:r w:rsidR="00BE52F1" w:rsidRPr="00BE52F1">
        <w:rPr>
          <w:rFonts w:ascii="Tahoma" w:hAnsi="Tahoma" w:cs="Tahoma"/>
          <w:color w:val="1D1D1B"/>
          <w:sz w:val="24"/>
          <w:szCs w:val="24"/>
          <w:shd w:val="clear" w:color="auto" w:fill="FFFFFF"/>
        </w:rPr>
        <w:t>.</w:t>
      </w:r>
    </w:p>
    <w:p w:rsidR="00D06F80" w:rsidRPr="00BE52F1" w:rsidRDefault="00D06F80" w:rsidP="00D06F80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D06F80" w:rsidRPr="00BE52F1" w:rsidRDefault="00374CE5" w:rsidP="00D06F80">
      <w:pPr>
        <w:spacing w:line="360" w:lineRule="auto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Strategia marketingowa - </w:t>
      </w:r>
      <w:r w:rsidR="00E11A73" w:rsidRPr="00BE52F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Ja sam! Ja sam! Na pewno?</w:t>
      </w:r>
      <w:r w:rsidR="004C0A9A" w:rsidRPr="00BE52F1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06F80" w:rsidRPr="00BE52F1" w:rsidRDefault="00D06F80" w:rsidP="00D06F80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Ponad 50% polskich przedsiębiorstw ma sformułowaną strategię marketingową. Nie oznacza to jednak, że jest ona systematycznie realizowana. Co jest tego przyczyną? Brak czasu, precyzyjnych wytycznych, czy po prostu niewystarczające umiej</w:t>
      </w:r>
      <w:r w:rsidR="00A7711A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ętności przełożenia pomysłów na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działania. Według danych CEIDG każdego dnia w Polsce powstaje około 1000 firm. Długotrwałe zwlekanie ze wdrożeniem strategii marketingowej grozi powstaniem sytuacji, w której TWÓJ potencjalny klient uda się nie do ciebie, ale właśnie do jednej z nich. Nie wymaga to outsourcingu marketingu. Często wystarczy samo doradztwo marketingowe</w:t>
      </w:r>
      <w:r w:rsidR="00BE52F1"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aby działania marketingowe nabrały wiatru w żagle</w:t>
      </w:r>
      <w:r w:rsidRPr="00BE5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</w:t>
      </w:r>
    </w:p>
    <w:p w:rsidR="00D75242" w:rsidRPr="00BE52F1" w:rsidRDefault="00D75242" w:rsidP="00D06F80">
      <w:pPr>
        <w:pStyle w:val="Pa4"/>
        <w:spacing w:line="276" w:lineRule="auto"/>
        <w:jc w:val="both"/>
        <w:rPr>
          <w:rFonts w:ascii="Tahoma" w:eastAsia="Adobe 명조 Std M" w:hAnsi="Tahoma" w:cs="Tahoma"/>
          <w:b/>
          <w:bCs/>
          <w:iCs/>
        </w:rPr>
      </w:pPr>
    </w:p>
    <w:p w:rsidR="000B02A0" w:rsidRPr="00BE52F1" w:rsidRDefault="00BE52F1" w:rsidP="00D06F8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outlineLvl w:val="0"/>
        <w:rPr>
          <w:rFonts w:ascii="Tahoma" w:hAnsi="Tahoma" w:cs="Tahoma"/>
          <w:b/>
        </w:rPr>
      </w:pPr>
      <w:r w:rsidRPr="00BE52F1">
        <w:rPr>
          <w:rFonts w:ascii="Tahoma" w:hAnsi="Tahoma" w:cs="Tahoma"/>
        </w:rPr>
        <w:t>W dzisiejszym dynamicznym</w:t>
      </w:r>
      <w:r>
        <w:rPr>
          <w:rFonts w:ascii="Tahoma" w:hAnsi="Tahoma" w:cs="Tahoma"/>
        </w:rPr>
        <w:t xml:space="preserve"> świecie d</w:t>
      </w:r>
      <w:r w:rsidRPr="00BE52F1">
        <w:rPr>
          <w:rFonts w:ascii="Tahoma" w:hAnsi="Tahoma" w:cs="Tahoma"/>
        </w:rPr>
        <w:t>źwignią sukcesu stają się mądrość w doborze narzędzi oraz dostosowanie strategii do konkretnych celów i sektora działalności.</w:t>
      </w:r>
      <w:r>
        <w:rPr>
          <w:rFonts w:ascii="Tahoma" w:hAnsi="Tahoma" w:cs="Tahoma"/>
        </w:rPr>
        <w:t xml:space="preserve"> Wrzesień zbliża się wielkimi krokami, zatem czas przygotować firmę na kolejny kwartał, aby skuteczniej osiągnąć założony zysk. </w:t>
      </w:r>
    </w:p>
    <w:p w:rsidR="009D0AB5" w:rsidRPr="00BE52F1" w:rsidRDefault="009D0AB5" w:rsidP="00D06F80">
      <w:pPr>
        <w:spacing w:before="100" w:line="276" w:lineRule="auto"/>
        <w:rPr>
          <w:rFonts w:ascii="Tahoma" w:hAnsi="Tahoma" w:cs="Tahoma"/>
          <w:b/>
          <w:sz w:val="24"/>
          <w:szCs w:val="24"/>
        </w:rPr>
      </w:pPr>
    </w:p>
    <w:sectPr w:rsidR="009D0AB5" w:rsidRPr="00BE52F1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B89E66" w15:done="0"/>
  <w15:commentEx w15:paraId="1EE52A5B" w15:paraIdParent="6CB89E66" w15:done="0"/>
  <w15:commentEx w15:paraId="4EC1318A" w15:paraIdParent="6CB89E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89E66" w16cid:durableId="20F7ACB5"/>
  <w16cid:commentId w16cid:paraId="1EE52A5B" w16cid:durableId="20F7C4AB"/>
  <w16cid:commentId w16cid:paraId="4EC1318A" w16cid:durableId="20F7C5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C1" w:rsidRDefault="00E02DC1" w:rsidP="00812127">
      <w:r>
        <w:separator/>
      </w:r>
    </w:p>
  </w:endnote>
  <w:endnote w:type="continuationSeparator" w:id="0">
    <w:p w:rsidR="00E02DC1" w:rsidRDefault="00E02DC1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명조 Std M">
    <w:charset w:val="4F"/>
    <w:family w:val="auto"/>
    <w:pitch w:val="variable"/>
    <w:sig w:usb0="800002A7" w:usb1="29D7FCFB" w:usb2="00000010" w:usb3="00000000" w:csb0="002A0005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D43345" w:rsidRDefault="0062159D" w:rsidP="0062159D">
    <w:pPr>
      <w:spacing w:before="100"/>
      <w:ind w:left="120"/>
      <w:rPr>
        <w:rFonts w:ascii="Lato" w:hAnsi="Lato"/>
        <w:b/>
        <w:sz w:val="18"/>
      </w:rPr>
    </w:pPr>
    <w:r w:rsidRPr="0062159D"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25096</wp:posOffset>
          </wp:positionV>
          <wp:extent cx="536575" cy="40957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1D5" w:rsidRPr="00E801D5">
      <w:rPr>
        <w:noProof/>
      </w:rPr>
      <w:pict>
        <v:line id="Line 1" o:spid="_x0000_s2049" style="position:absolute;left:0;text-align:left;z-index:-251657728;visibility:visible;mso-wrap-distance-left:0;mso-wrap-distance-right:0;mso-position-horizontal-relative:page;mso-position-vertical-relative:text" from="36pt,-.6pt" to="55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" strokecolor="#b61e42" strokeweight=".25011mm">
          <w10:wrap type="topAndBottom" anchorx="page"/>
        </v:line>
      </w:pict>
    </w:r>
    <w:r w:rsidRPr="00D43345">
      <w:rPr>
        <w:rFonts w:ascii="Lato" w:hAnsi="Lato"/>
        <w:b/>
        <w:color w:val="00234B"/>
        <w:sz w:val="18"/>
      </w:rPr>
      <w:t xml:space="preserve">DKK Sp. z o.o. </w:t>
    </w:r>
  </w:p>
  <w:p w:rsidR="0062159D" w:rsidRPr="00D43345" w:rsidRDefault="0062159D" w:rsidP="0062159D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color w:val="00234B"/>
      </w:rPr>
      <w:t>ul. Liczyrzepy</w:t>
    </w:r>
    <w:r w:rsidRPr="00D43345">
      <w:rPr>
        <w:rFonts w:ascii="Lato" w:hAnsi="Lato"/>
        <w:color w:val="00234B"/>
        <w:spacing w:val="-9"/>
      </w:rPr>
      <w:t xml:space="preserve"> </w:t>
    </w:r>
    <w:r w:rsidRPr="00D43345">
      <w:rPr>
        <w:rFonts w:ascii="Lato" w:hAnsi="Lato"/>
        <w:color w:val="00234B"/>
      </w:rPr>
      <w:t>20</w:t>
    </w:r>
    <w:r>
      <w:rPr>
        <w:rFonts w:ascii="Lato" w:hAnsi="Lato"/>
        <w:color w:val="00234B"/>
      </w:rPr>
      <w:t xml:space="preserve">                                                                                    NIP: 521-012-02-62</w:t>
    </w:r>
  </w:p>
  <w:p w:rsidR="0062159D" w:rsidRPr="0062159D" w:rsidRDefault="0062159D" w:rsidP="0062159D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color w:val="00234B"/>
      </w:rPr>
      <w:t>58-564 Sosnówka k. Karpacza</w:t>
    </w:r>
    <w:r>
      <w:rPr>
        <w:rFonts w:ascii="Lato" w:hAnsi="Lato"/>
      </w:rPr>
      <w:t xml:space="preserve">               </w:t>
    </w:r>
    <w:r>
      <w:rPr>
        <w:rFonts w:ascii="Lato" w:hAnsi="Lato"/>
        <w:color w:val="00234B"/>
      </w:rPr>
      <w:t xml:space="preserve">                                      </w:t>
    </w:r>
    <w:r>
      <w:rPr>
        <w:rFonts w:ascii="Lato" w:hAnsi="Lato"/>
      </w:rPr>
      <w:t xml:space="preserve"> </w:t>
    </w:r>
    <w:r w:rsidRPr="00D43345">
      <w:rPr>
        <w:rFonts w:ascii="Lato" w:hAnsi="Lato"/>
        <w:color w:val="00234B"/>
      </w:rPr>
      <w:t>REGON:</w:t>
    </w:r>
    <w:r w:rsidRPr="00D43345">
      <w:rPr>
        <w:rFonts w:ascii="Lato" w:hAnsi="Lato"/>
        <w:color w:val="00234B"/>
        <w:spacing w:val="-3"/>
      </w:rPr>
      <w:t xml:space="preserve"> </w:t>
    </w:r>
    <w:r w:rsidRPr="00D43345">
      <w:rPr>
        <w:rFonts w:ascii="Lato" w:hAnsi="Lato"/>
        <w:color w:val="00234B"/>
      </w:rPr>
      <w:t>012505742</w:t>
    </w:r>
    <w:r>
      <w:rPr>
        <w:rFonts w:ascii="Lato" w:hAnsi="Lato"/>
        <w:color w:val="00234B"/>
      </w:rPr>
      <w:t xml:space="preserve">                                                                                                                                                                              </w:t>
    </w: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C1" w:rsidRDefault="00E02DC1" w:rsidP="00812127">
      <w:r>
        <w:separator/>
      </w:r>
    </w:p>
  </w:footnote>
  <w:footnote w:type="continuationSeparator" w:id="0">
    <w:p w:rsidR="00E02DC1" w:rsidRDefault="00E02DC1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Kopiej">
    <w15:presenceInfo w15:providerId="Windows Live" w15:userId="9877d46d34440481"/>
  </w15:person>
  <w15:person w15:author="A N">
    <w15:presenceInfo w15:providerId="Windows Live" w15:userId="090aa63b9e0d80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97258"/>
    <w:rsid w:val="000B02A0"/>
    <w:rsid w:val="000D1763"/>
    <w:rsid w:val="000E5644"/>
    <w:rsid w:val="00127CA9"/>
    <w:rsid w:val="00135EDA"/>
    <w:rsid w:val="00180068"/>
    <w:rsid w:val="001861CD"/>
    <w:rsid w:val="00193456"/>
    <w:rsid w:val="001A58A2"/>
    <w:rsid w:val="001E4B6E"/>
    <w:rsid w:val="0020273B"/>
    <w:rsid w:val="002306E2"/>
    <w:rsid w:val="00241984"/>
    <w:rsid w:val="00275924"/>
    <w:rsid w:val="00291191"/>
    <w:rsid w:val="00291DE2"/>
    <w:rsid w:val="002E3869"/>
    <w:rsid w:val="00321934"/>
    <w:rsid w:val="00360555"/>
    <w:rsid w:val="00374CE5"/>
    <w:rsid w:val="0039003B"/>
    <w:rsid w:val="00391232"/>
    <w:rsid w:val="003B528F"/>
    <w:rsid w:val="003D5B18"/>
    <w:rsid w:val="003F5516"/>
    <w:rsid w:val="004006E7"/>
    <w:rsid w:val="00401723"/>
    <w:rsid w:val="00415A2C"/>
    <w:rsid w:val="0042218E"/>
    <w:rsid w:val="004336ED"/>
    <w:rsid w:val="0043652E"/>
    <w:rsid w:val="00461316"/>
    <w:rsid w:val="00463781"/>
    <w:rsid w:val="00467CBF"/>
    <w:rsid w:val="004866EC"/>
    <w:rsid w:val="004962FD"/>
    <w:rsid w:val="004A6DB4"/>
    <w:rsid w:val="004B3425"/>
    <w:rsid w:val="004B7AB2"/>
    <w:rsid w:val="004C0A9A"/>
    <w:rsid w:val="004E3A41"/>
    <w:rsid w:val="00542312"/>
    <w:rsid w:val="00566362"/>
    <w:rsid w:val="00580DFD"/>
    <w:rsid w:val="00583CED"/>
    <w:rsid w:val="005A26E0"/>
    <w:rsid w:val="005A3787"/>
    <w:rsid w:val="005A6CB9"/>
    <w:rsid w:val="005D60D8"/>
    <w:rsid w:val="005E2E7D"/>
    <w:rsid w:val="005F209F"/>
    <w:rsid w:val="00607045"/>
    <w:rsid w:val="0062159D"/>
    <w:rsid w:val="00640FF8"/>
    <w:rsid w:val="00650DFC"/>
    <w:rsid w:val="006745EB"/>
    <w:rsid w:val="0068243D"/>
    <w:rsid w:val="00695E9C"/>
    <w:rsid w:val="0069739C"/>
    <w:rsid w:val="006A491C"/>
    <w:rsid w:val="006B7102"/>
    <w:rsid w:val="006C77E8"/>
    <w:rsid w:val="006F7A88"/>
    <w:rsid w:val="00733B04"/>
    <w:rsid w:val="00793C4C"/>
    <w:rsid w:val="007F11F6"/>
    <w:rsid w:val="00812127"/>
    <w:rsid w:val="0081317D"/>
    <w:rsid w:val="008205C7"/>
    <w:rsid w:val="00864946"/>
    <w:rsid w:val="0087127D"/>
    <w:rsid w:val="00876C34"/>
    <w:rsid w:val="008911EE"/>
    <w:rsid w:val="008944EC"/>
    <w:rsid w:val="008A5398"/>
    <w:rsid w:val="008A57DE"/>
    <w:rsid w:val="008D0F9C"/>
    <w:rsid w:val="0090326B"/>
    <w:rsid w:val="0091608C"/>
    <w:rsid w:val="009630C9"/>
    <w:rsid w:val="00977B70"/>
    <w:rsid w:val="0099473B"/>
    <w:rsid w:val="009B4023"/>
    <w:rsid w:val="009B59FC"/>
    <w:rsid w:val="009D0AB5"/>
    <w:rsid w:val="009E5976"/>
    <w:rsid w:val="009F2E29"/>
    <w:rsid w:val="00A0575B"/>
    <w:rsid w:val="00A07DD0"/>
    <w:rsid w:val="00A1453E"/>
    <w:rsid w:val="00A2265A"/>
    <w:rsid w:val="00A71C3F"/>
    <w:rsid w:val="00A7711A"/>
    <w:rsid w:val="00A937ED"/>
    <w:rsid w:val="00AD51B0"/>
    <w:rsid w:val="00B4274A"/>
    <w:rsid w:val="00B4590C"/>
    <w:rsid w:val="00B66C26"/>
    <w:rsid w:val="00B960FB"/>
    <w:rsid w:val="00BA0179"/>
    <w:rsid w:val="00BA34DD"/>
    <w:rsid w:val="00BE52F1"/>
    <w:rsid w:val="00C004BD"/>
    <w:rsid w:val="00C45E1B"/>
    <w:rsid w:val="00CF2042"/>
    <w:rsid w:val="00CF4BA1"/>
    <w:rsid w:val="00D06F80"/>
    <w:rsid w:val="00D13486"/>
    <w:rsid w:val="00D21CA8"/>
    <w:rsid w:val="00D32A4F"/>
    <w:rsid w:val="00D43345"/>
    <w:rsid w:val="00D44DBB"/>
    <w:rsid w:val="00D74D01"/>
    <w:rsid w:val="00D75242"/>
    <w:rsid w:val="00D81CEF"/>
    <w:rsid w:val="00D87157"/>
    <w:rsid w:val="00D95434"/>
    <w:rsid w:val="00DA0C93"/>
    <w:rsid w:val="00DD4D0D"/>
    <w:rsid w:val="00DF4338"/>
    <w:rsid w:val="00E02DC1"/>
    <w:rsid w:val="00E0355A"/>
    <w:rsid w:val="00E11A73"/>
    <w:rsid w:val="00E12D2E"/>
    <w:rsid w:val="00E20120"/>
    <w:rsid w:val="00E633B1"/>
    <w:rsid w:val="00E801D5"/>
    <w:rsid w:val="00E90E05"/>
    <w:rsid w:val="00EA6AFA"/>
    <w:rsid w:val="00EC1E3D"/>
    <w:rsid w:val="00ED1313"/>
    <w:rsid w:val="00EE62B6"/>
    <w:rsid w:val="00F11D51"/>
    <w:rsid w:val="00F2580B"/>
    <w:rsid w:val="00F27F9E"/>
    <w:rsid w:val="00F72F47"/>
    <w:rsid w:val="00F77130"/>
    <w:rsid w:val="00F93F23"/>
    <w:rsid w:val="00F945B4"/>
    <w:rsid w:val="00FB78AC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BE52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072A-C0DF-456C-8D8C-ED49D0DD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MSI</cp:lastModifiedBy>
  <cp:revision>3</cp:revision>
  <dcterms:created xsi:type="dcterms:W3CDTF">2023-08-21T06:17:00Z</dcterms:created>
  <dcterms:modified xsi:type="dcterms:W3CDTF">2023-08-21T06:35:00Z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