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9D8B4A" w14:textId="77777777" w:rsidR="00D25330" w:rsidRDefault="00D25330" w:rsidP="00D25330">
      <w:pPr>
        <w:keepNext/>
        <w:keepLines/>
        <w:spacing w:line="360" w:lineRule="auto"/>
        <w:rPr>
          <w:sz w:val="32"/>
          <w:szCs w:val="32"/>
        </w:rPr>
      </w:pPr>
      <w:bookmarkStart w:id="0" w:name="_heading=h.gjdgxs" w:colFirst="0" w:colLast="0"/>
      <w:bookmarkEnd w:id="0"/>
    </w:p>
    <w:p w14:paraId="00000001" w14:textId="7204577F" w:rsidR="00865D96" w:rsidRPr="00D25330" w:rsidRDefault="00000000" w:rsidP="00D25330">
      <w:pPr>
        <w:keepNext/>
        <w:keepLines/>
        <w:spacing w:line="360" w:lineRule="auto"/>
        <w:rPr>
          <w:sz w:val="36"/>
          <w:szCs w:val="36"/>
        </w:rPr>
      </w:pPr>
      <w:r w:rsidRPr="00D25330">
        <w:rPr>
          <w:sz w:val="36"/>
          <w:szCs w:val="36"/>
        </w:rPr>
        <w:t xml:space="preserve">Rozwijasz innowacje oparte na </w:t>
      </w:r>
      <w:proofErr w:type="spellStart"/>
      <w:r w:rsidRPr="00D25330">
        <w:rPr>
          <w:sz w:val="36"/>
          <w:szCs w:val="36"/>
        </w:rPr>
        <w:t>deep-tech</w:t>
      </w:r>
      <w:proofErr w:type="spellEnd"/>
      <w:r w:rsidRPr="00D25330">
        <w:rPr>
          <w:sz w:val="36"/>
          <w:szCs w:val="36"/>
        </w:rPr>
        <w:t>? Sprawdź, czy kwalifikujesz się do wsparcia dotacyjnego w EIC Accelerator!</w:t>
      </w:r>
    </w:p>
    <w:p w14:paraId="16E9AFD0" w14:textId="77777777" w:rsidR="00D25330" w:rsidRDefault="00D25330" w:rsidP="00D25330">
      <w:pPr>
        <w:shd w:val="clear" w:color="auto" w:fill="FFFFFF"/>
        <w:spacing w:line="360" w:lineRule="auto"/>
        <w:rPr>
          <w:b/>
        </w:rPr>
      </w:pPr>
    </w:p>
    <w:p w14:paraId="00000002" w14:textId="1083448E" w:rsidR="00865D96" w:rsidRDefault="00000000" w:rsidP="00D25330">
      <w:pPr>
        <w:shd w:val="clear" w:color="auto" w:fill="FFFFFF"/>
        <w:spacing w:line="360" w:lineRule="auto"/>
        <w:rPr>
          <w:b/>
        </w:rPr>
      </w:pPr>
      <w:proofErr w:type="spellStart"/>
      <w:r>
        <w:rPr>
          <w:b/>
        </w:rPr>
        <w:t>Deep-tech</w:t>
      </w:r>
      <w:proofErr w:type="spellEnd"/>
      <w:r>
        <w:rPr>
          <w:b/>
        </w:rPr>
        <w:t xml:space="preserve"> koncentruje się na tworzeniu technologii przełomowych dla świata. Startupy działające w tym obszarze mają szansę otrzymania dotacji na realizację swoich projektów, pokrywających nawet do 100% kosztów, dzięki programom takim jak EIC Accelerator. Jakie wymagania stawia przed kandydatami podmiot oferujący wsparcie finansowe? Sprawdźmy.</w:t>
      </w:r>
    </w:p>
    <w:p w14:paraId="5ABD17B1" w14:textId="77777777" w:rsidR="00D25330" w:rsidRDefault="00D25330" w:rsidP="00D25330">
      <w:pPr>
        <w:shd w:val="clear" w:color="auto" w:fill="FFFFFF"/>
        <w:spacing w:line="360" w:lineRule="auto"/>
        <w:rPr>
          <w:b/>
        </w:rPr>
      </w:pPr>
    </w:p>
    <w:p w14:paraId="00000003" w14:textId="77777777" w:rsidR="00865D96" w:rsidRDefault="00000000" w:rsidP="00D25330">
      <w:pPr>
        <w:keepNext/>
        <w:keepLines/>
        <w:spacing w:line="360" w:lineRule="auto"/>
        <w:rPr>
          <w:sz w:val="32"/>
          <w:szCs w:val="32"/>
        </w:rPr>
      </w:pPr>
      <w:bookmarkStart w:id="1" w:name="_heading=h.30j0zll" w:colFirst="0" w:colLast="0"/>
      <w:bookmarkEnd w:id="1"/>
      <w:r>
        <w:rPr>
          <w:sz w:val="32"/>
          <w:szCs w:val="32"/>
        </w:rPr>
        <w:t>Jakie warunki trzeba spełnić, aby otrzymać wsparcie dotacyjne?</w:t>
      </w:r>
    </w:p>
    <w:p w14:paraId="2C37CCD0" w14:textId="77777777" w:rsidR="00D25330" w:rsidRDefault="00D25330" w:rsidP="00D25330">
      <w:pPr>
        <w:keepNext/>
        <w:keepLines/>
        <w:spacing w:line="360" w:lineRule="auto"/>
        <w:rPr>
          <w:sz w:val="32"/>
          <w:szCs w:val="32"/>
        </w:rPr>
      </w:pPr>
    </w:p>
    <w:p w14:paraId="00000004" w14:textId="77777777" w:rsidR="00865D96" w:rsidRDefault="00000000" w:rsidP="00D25330">
      <w:pPr>
        <w:spacing w:line="360" w:lineRule="auto"/>
      </w:pPr>
      <w:bookmarkStart w:id="2" w:name="_heading=h.c9co9vw05myv" w:colFirst="0" w:colLast="0"/>
      <w:bookmarkEnd w:id="2"/>
      <w:r>
        <w:t>EIC Accelerator jest programem przeznaczonym w szczególności dla innowatorów podejmujących projekty o bardzo wysokim ryzyku, dużym wpływie na społeczeństwo oraz potencjale do transformacji rynku. Jakie warunki należy spełnić, aby móc starać się o wsparcie dotacyjne?</w:t>
      </w:r>
    </w:p>
    <w:p w14:paraId="1F1B2B6A" w14:textId="77777777" w:rsidR="00D25330" w:rsidRDefault="00D25330" w:rsidP="00D25330">
      <w:pPr>
        <w:spacing w:line="360" w:lineRule="auto"/>
      </w:pPr>
    </w:p>
    <w:p w14:paraId="4316F599" w14:textId="3062568C" w:rsidR="00D25330" w:rsidRDefault="00000000" w:rsidP="00D25330">
      <w:pPr>
        <w:keepNext/>
        <w:keepLines/>
        <w:spacing w:line="360" w:lineRule="auto"/>
        <w:rPr>
          <w:color w:val="434343"/>
          <w:sz w:val="28"/>
          <w:szCs w:val="28"/>
        </w:rPr>
      </w:pPr>
      <w:bookmarkStart w:id="3" w:name="_heading=h.1fob9te" w:colFirst="0" w:colLast="0"/>
      <w:bookmarkEnd w:id="3"/>
      <w:r>
        <w:rPr>
          <w:color w:val="434343"/>
          <w:sz w:val="28"/>
          <w:szCs w:val="28"/>
        </w:rPr>
        <w:t>Skala innowacyjności projektu</w:t>
      </w:r>
    </w:p>
    <w:p w14:paraId="00000006" w14:textId="77777777" w:rsidR="00865D96" w:rsidRDefault="00000000" w:rsidP="00D25330">
      <w:pPr>
        <w:spacing w:line="360" w:lineRule="auto"/>
      </w:pPr>
      <w:r>
        <w:t xml:space="preserve">Podstawowym kryterium jest innowacyjność na skalę światową. Największe szanse na uzyskanie dotacji mają projekty przełomowe w swoim obszarze, cechujące się wysokim poziomem ryzyka technologicznego, biznesowego i finansowego oraz wysokim potencjałem rozwojowym i skalą wpływu (ang. </w:t>
      </w:r>
      <w:proofErr w:type="spellStart"/>
      <w:r>
        <w:rPr>
          <w:i/>
        </w:rPr>
        <w:t>impact</w:t>
      </w:r>
      <w:proofErr w:type="spellEnd"/>
      <w:r>
        <w:t xml:space="preserve">), co jest charakterystyczne dla większości projektów w branży </w:t>
      </w:r>
      <w:proofErr w:type="spellStart"/>
      <w:r>
        <w:t>deep-tech</w:t>
      </w:r>
      <w:proofErr w:type="spellEnd"/>
      <w:r>
        <w:t xml:space="preserve">. Przy składaniu wniosku do EIC Accelerator warunkiem podstawowym jest posiadanie technologii lub rozwiązania na co najmniej 5. poziomie gotowości technologicznej (ang. </w:t>
      </w:r>
      <w:r>
        <w:rPr>
          <w:i/>
        </w:rPr>
        <w:t>Technology Readiness Level, TRL</w:t>
      </w:r>
      <w:r>
        <w:t>).</w:t>
      </w:r>
    </w:p>
    <w:p w14:paraId="3176A9F1" w14:textId="77777777" w:rsidR="00D25330" w:rsidRDefault="00D25330" w:rsidP="00D25330">
      <w:pPr>
        <w:spacing w:line="360" w:lineRule="auto"/>
      </w:pPr>
    </w:p>
    <w:p w14:paraId="00000007" w14:textId="77777777" w:rsidR="00865D96" w:rsidRDefault="00000000" w:rsidP="00D25330">
      <w:pPr>
        <w:keepNext/>
        <w:keepLines/>
        <w:spacing w:line="360" w:lineRule="auto"/>
      </w:pPr>
      <w:bookmarkStart w:id="4" w:name="_heading=h.3znysh7" w:colFirst="0" w:colLast="0"/>
      <w:bookmarkEnd w:id="4"/>
      <w:r>
        <w:rPr>
          <w:color w:val="434343"/>
          <w:sz w:val="28"/>
          <w:szCs w:val="28"/>
        </w:rPr>
        <w:t>Status przedsiębiorstwa oraz jego kwalifikowalność</w:t>
      </w:r>
    </w:p>
    <w:p w14:paraId="00000008" w14:textId="4163F46F" w:rsidR="00865D96" w:rsidRDefault="00000000" w:rsidP="00D25330">
      <w:pPr>
        <w:spacing w:line="360" w:lineRule="auto"/>
      </w:pPr>
      <w:r>
        <w:t xml:space="preserve">Regulamin konkursu EIC Accelerator określa kategorię przedsiębiorstw, które mogą startować w konkursie – aplikację mogą składać przede wszystkim MŚP (małe i średnie </w:t>
      </w:r>
      <w:r>
        <w:lastRenderedPageBreak/>
        <w:t>przedsiębiorstwa) oraz small mid-caps (spółki zatrudniające nie więcej niż 499 pracowników). Firmy muszą aplikować o wsparcie samodzielnie, nie ma możliwości złożenia wniosku jako konsorcjum. Na tym kryteria kwalifikowalności do programu się jednak nie kończą.</w:t>
      </w:r>
    </w:p>
    <w:p w14:paraId="00000009" w14:textId="77777777" w:rsidR="00865D96" w:rsidRDefault="00865D96" w:rsidP="00D25330">
      <w:pPr>
        <w:spacing w:line="360" w:lineRule="auto"/>
      </w:pPr>
    </w:p>
    <w:p w14:paraId="0000000A" w14:textId="54B7BC3A" w:rsidR="00865D96" w:rsidRDefault="00000000" w:rsidP="00D25330">
      <w:pPr>
        <w:spacing w:line="360" w:lineRule="auto"/>
      </w:pPr>
      <w:r>
        <w:rPr>
          <w:i/>
        </w:rPr>
        <w:t xml:space="preserve">– W przypadku EIC Accelerator o dofinansowanie mogą aplikować podmioty, które dysponują przełomową technologią na min. TRL5 i w dużym uproszczeniu potrzebują już tylko demonstracji, pilotażu i/lub walidacji rozwiązania, by wdrożyć je na rynku i szeroko wyskalować – </w:t>
      </w:r>
      <w:r>
        <w:t xml:space="preserve">wyjaśnia Jakub Żbikowski z Grupy Innology, wspierającej spółki </w:t>
      </w:r>
      <w:proofErr w:type="spellStart"/>
      <w:r>
        <w:t>deep-tech</w:t>
      </w:r>
      <w:proofErr w:type="spellEnd"/>
      <w:r>
        <w:t xml:space="preserve"> w aplikowaniu o środki unijne na badania, rozwój i innowacje.</w:t>
      </w:r>
    </w:p>
    <w:p w14:paraId="3A6CA7EB" w14:textId="77777777" w:rsidR="00D25330" w:rsidRDefault="00D25330" w:rsidP="00D25330">
      <w:pPr>
        <w:spacing w:line="360" w:lineRule="auto"/>
      </w:pPr>
    </w:p>
    <w:p w14:paraId="0000000B" w14:textId="77777777" w:rsidR="00865D96" w:rsidRDefault="00000000" w:rsidP="00D25330">
      <w:pPr>
        <w:pStyle w:val="Nagwek3"/>
        <w:spacing w:before="0" w:after="0" w:line="360" w:lineRule="auto"/>
      </w:pPr>
      <w:bookmarkStart w:id="5" w:name="_heading=h.94s59or0li9h" w:colFirst="0" w:colLast="0"/>
      <w:bookmarkEnd w:id="5"/>
      <w:r>
        <w:t>Minimalna i maksymalna kwota inwestycji</w:t>
      </w:r>
    </w:p>
    <w:p w14:paraId="0000000C" w14:textId="77777777" w:rsidR="00865D96" w:rsidRDefault="00000000" w:rsidP="00D25330">
      <w:pPr>
        <w:spacing w:line="360" w:lineRule="auto"/>
      </w:pPr>
      <w:r>
        <w:t>W EIC Accelerator można otrzymać wsparcie zarówno w formie grantu (kwota dofinansowania wynosi do 2,5 miliona euro – 70% kosztów kwalifikowanych, przeznaczonych na prace rozwojowe nad produktem czy przygotowanie do wdrożenia), jak i komponentu inwestycyjnego (finansowanie kapitałowe w wysokości 0,5-15 milionów euro, przeznaczone na komponent wdrożeniowy/powdrożeniowy, czyli komercjalizację i skalowanie rynkowe).</w:t>
      </w:r>
    </w:p>
    <w:p w14:paraId="4D4C598E" w14:textId="77777777" w:rsidR="00D25330" w:rsidRDefault="00D25330" w:rsidP="00D25330">
      <w:pPr>
        <w:spacing w:line="360" w:lineRule="auto"/>
      </w:pPr>
    </w:p>
    <w:p w14:paraId="0000000D" w14:textId="77777777" w:rsidR="00865D96" w:rsidRDefault="00000000" w:rsidP="00D25330">
      <w:pPr>
        <w:keepNext/>
        <w:keepLines/>
        <w:spacing w:line="360" w:lineRule="auto"/>
        <w:rPr>
          <w:color w:val="434343"/>
          <w:sz w:val="28"/>
          <w:szCs w:val="28"/>
        </w:rPr>
      </w:pPr>
      <w:bookmarkStart w:id="6" w:name="_heading=h.tyjcwt" w:colFirst="0" w:colLast="0"/>
      <w:bookmarkEnd w:id="6"/>
      <w:r>
        <w:rPr>
          <w:color w:val="434343"/>
          <w:sz w:val="28"/>
          <w:szCs w:val="28"/>
        </w:rPr>
        <w:t>Obszary tematyczne</w:t>
      </w:r>
    </w:p>
    <w:p w14:paraId="0000000E" w14:textId="77777777" w:rsidR="00865D96" w:rsidRDefault="00000000" w:rsidP="00D25330">
      <w:pPr>
        <w:spacing w:line="360" w:lineRule="auto"/>
      </w:pPr>
      <w:r>
        <w:t>Największą szansę na otrzymanie wsparcia dotacyjnego z programu EIC Accelerator mają przede wszystkim projekty charakteryzujące się wysokim poziomem ryzyka oraz wysokim potencjałem rozwojowym, przyczyniające się do poprawy jakości życia społeczeństwa.</w:t>
      </w:r>
    </w:p>
    <w:p w14:paraId="0000000F" w14:textId="77777777" w:rsidR="00865D96" w:rsidRDefault="00865D96" w:rsidP="00D25330">
      <w:pPr>
        <w:spacing w:line="360" w:lineRule="auto"/>
      </w:pPr>
    </w:p>
    <w:p w14:paraId="00000010" w14:textId="77777777" w:rsidR="00865D96" w:rsidRDefault="00000000" w:rsidP="00D25330">
      <w:pPr>
        <w:spacing w:line="360" w:lineRule="auto"/>
      </w:pPr>
      <w:r>
        <w:t xml:space="preserve">– </w:t>
      </w:r>
      <w:r>
        <w:rPr>
          <w:i/>
        </w:rPr>
        <w:t>Program EIC Accelerator oferuje dwie możliwości aplikowania. W ścieżce „Open” kandydaci mogą samodzielnie określić temat, w ramach którego składają wniosek. Druga ścieżka – „</w:t>
      </w:r>
      <w:proofErr w:type="spellStart"/>
      <w:r>
        <w:rPr>
          <w:i/>
        </w:rPr>
        <w:t>Challenges</w:t>
      </w:r>
      <w:proofErr w:type="spellEnd"/>
      <w:r>
        <w:rPr>
          <w:i/>
        </w:rPr>
        <w:t xml:space="preserve">” – wspiera przedsiębiorstwa opracowujące rozwiązania w ramach wskazanych odgórnie strategicznych obszarów tematycznych. W 2023 r. wyzwaniami takimi były m.in. </w:t>
      </w:r>
      <w:proofErr w:type="spellStart"/>
      <w:r>
        <w:rPr>
          <w:i/>
        </w:rPr>
        <w:t>biomarkery</w:t>
      </w:r>
      <w:proofErr w:type="spellEnd"/>
      <w:r>
        <w:rPr>
          <w:i/>
        </w:rPr>
        <w:t xml:space="preserve"> nowotworowe czy komponenty półprzewodnikowe i kwantowe – </w:t>
      </w:r>
      <w:r>
        <w:t>wyjaśnia Jakub Żbikowski.</w:t>
      </w:r>
    </w:p>
    <w:p w14:paraId="0023A1D7" w14:textId="77777777" w:rsidR="00D25330" w:rsidRDefault="00D25330" w:rsidP="00D25330">
      <w:pPr>
        <w:spacing w:line="360" w:lineRule="auto"/>
      </w:pPr>
    </w:p>
    <w:p w14:paraId="00000011" w14:textId="77777777" w:rsidR="00865D96" w:rsidRDefault="00000000" w:rsidP="00D25330">
      <w:pPr>
        <w:keepNext/>
        <w:keepLines/>
        <w:spacing w:line="360" w:lineRule="auto"/>
        <w:rPr>
          <w:sz w:val="32"/>
          <w:szCs w:val="32"/>
        </w:rPr>
      </w:pPr>
      <w:bookmarkStart w:id="7" w:name="_heading=h.3dy6vkm" w:colFirst="0" w:colLast="0"/>
      <w:bookmarkEnd w:id="7"/>
      <w:r>
        <w:rPr>
          <w:sz w:val="32"/>
          <w:szCs w:val="32"/>
        </w:rPr>
        <w:lastRenderedPageBreak/>
        <w:t>Skąd mieć pewność, czy projekt kwalifikuje się do EIC Accelerator?</w:t>
      </w:r>
    </w:p>
    <w:p w14:paraId="471F8C80" w14:textId="77777777" w:rsidR="00D25330" w:rsidRDefault="00D25330" w:rsidP="00D25330">
      <w:pPr>
        <w:keepNext/>
        <w:keepLines/>
        <w:spacing w:line="360" w:lineRule="auto"/>
        <w:rPr>
          <w:sz w:val="32"/>
          <w:szCs w:val="32"/>
        </w:rPr>
      </w:pPr>
    </w:p>
    <w:p w14:paraId="00000012" w14:textId="64B6FF17" w:rsidR="00865D96" w:rsidRDefault="00000000" w:rsidP="00D25330">
      <w:pPr>
        <w:spacing w:line="360" w:lineRule="auto"/>
      </w:pPr>
      <w:r>
        <w:t>Nawet najbardziej obiecujący projekt może otrzymać dotację wyłącznie wówczas, gdy w doskonałym stopniu spełnia wszystkie kryteria określone w regulaminie naboru. Aby zwiększyć szanse na powodzenie w otrzymaniu dotacji w programie EIC Accelerator, można skorzystać ze wsparcia specjalistycznych podmiotów prowadzących krok po kroku przez wszystkie działania niezbędne do prawidłowego złożenia aplikacji.</w:t>
      </w:r>
    </w:p>
    <w:p w14:paraId="00000013" w14:textId="77777777" w:rsidR="00865D96" w:rsidRDefault="00865D96" w:rsidP="00D25330">
      <w:pPr>
        <w:spacing w:line="360" w:lineRule="auto"/>
      </w:pPr>
    </w:p>
    <w:p w14:paraId="00000014" w14:textId="059164D4" w:rsidR="00865D96" w:rsidRDefault="00000000" w:rsidP="00D25330">
      <w:pPr>
        <w:spacing w:line="360" w:lineRule="auto"/>
      </w:pPr>
      <w:r>
        <w:t xml:space="preserve">– </w:t>
      </w:r>
      <w:r>
        <w:rPr>
          <w:i/>
        </w:rPr>
        <w:t xml:space="preserve">W Innology do tej pory skutecznie wsparliśmy w pozyskaniu dotacji przedsiębiorstwa rozwijające przełomowe projekty </w:t>
      </w:r>
      <w:proofErr w:type="spellStart"/>
      <w:r>
        <w:rPr>
          <w:i/>
        </w:rPr>
        <w:t>deep-techowe</w:t>
      </w:r>
      <w:proofErr w:type="spellEnd"/>
      <w:r>
        <w:rPr>
          <w:i/>
        </w:rPr>
        <w:t xml:space="preserve"> w wielu branżach, m.in</w:t>
      </w:r>
      <w:r w:rsidR="009B4280" w:rsidRPr="009B4280">
        <w:t xml:space="preserve"> </w:t>
      </w:r>
      <w:r>
        <w:rPr>
          <w:i/>
        </w:rPr>
        <w:t>.</w:t>
      </w:r>
      <w:r w:rsidR="009B4280">
        <w:t xml:space="preserve"> </w:t>
      </w:r>
      <w:r>
        <w:rPr>
          <w:i/>
        </w:rPr>
        <w:t xml:space="preserve">Biotech i </w:t>
      </w:r>
      <w:proofErr w:type="spellStart"/>
      <w:r>
        <w:rPr>
          <w:i/>
        </w:rPr>
        <w:t>Clean</w:t>
      </w:r>
      <w:proofErr w:type="spellEnd"/>
      <w:r>
        <w:rPr>
          <w:i/>
        </w:rPr>
        <w:t xml:space="preserve">-Tech. Dzięki specjalistycznej ocenie kwalifikowalności i potencjału projektów, ocenie potencjału innowacyjnego, rynkowego i ludzkiego oraz wykonalności technologicznej i finansowej wspólnie dostosowywaliśmy aplikację konkursową do wymagań programu, co przełożyło się na sukces w postaci uzyskania wsparcia finansowego </w:t>
      </w:r>
      <w:r>
        <w:t>– wymienia ekspert.</w:t>
      </w:r>
    </w:p>
    <w:p w14:paraId="00000015" w14:textId="77777777" w:rsidR="00865D96" w:rsidRDefault="00865D96" w:rsidP="00D25330">
      <w:pPr>
        <w:spacing w:line="360" w:lineRule="auto"/>
      </w:pPr>
    </w:p>
    <w:p w14:paraId="00000016" w14:textId="77777777" w:rsidR="00865D96" w:rsidRDefault="00000000" w:rsidP="00D25330">
      <w:pPr>
        <w:spacing w:line="360" w:lineRule="auto"/>
      </w:pPr>
      <w:r>
        <w:t>Opracowując profesjonalną strategię działania oraz przystosowując projekt do wymagań wybranego programu europejskiego, możesz zweryfikować kwalifikowalność swojej firmy i projektu do wsparcia dotacyjnego oraz szanse na uzyskanie funduszy unijnych.</w:t>
      </w:r>
    </w:p>
    <w:p w14:paraId="5FB2F589" w14:textId="77777777" w:rsidR="00D25330" w:rsidRDefault="00D25330" w:rsidP="00D25330">
      <w:pPr>
        <w:spacing w:line="360" w:lineRule="auto"/>
      </w:pPr>
    </w:p>
    <w:p w14:paraId="35BEA8D0" w14:textId="77777777" w:rsidR="00D25330" w:rsidRDefault="00D25330" w:rsidP="00D25330">
      <w:pPr>
        <w:spacing w:line="360" w:lineRule="auto"/>
        <w:rPr>
          <w:rFonts w:ascii="Lato" w:hAnsi="Lato"/>
          <w:sz w:val="20"/>
          <w:szCs w:val="20"/>
        </w:rPr>
      </w:pPr>
    </w:p>
    <w:p w14:paraId="6E5EF679" w14:textId="77777777" w:rsidR="00D25330" w:rsidRDefault="00D25330" w:rsidP="00D25330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Kontakt dla mediów:</w:t>
      </w:r>
    </w:p>
    <w:p w14:paraId="4C2261AA" w14:textId="77777777" w:rsidR="00D25330" w:rsidRDefault="00D25330" w:rsidP="00D25330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Małgorzata Knapik-Klata</w:t>
      </w:r>
    </w:p>
    <w:p w14:paraId="5E098B33" w14:textId="77777777" w:rsidR="00D25330" w:rsidRDefault="00D25330" w:rsidP="00D25330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 Manager</w:t>
      </w:r>
    </w:p>
    <w:p w14:paraId="2F2E1891" w14:textId="77777777" w:rsidR="00D25330" w:rsidRDefault="00D25330" w:rsidP="00D25330">
      <w:pPr>
        <w:spacing w:line="360" w:lineRule="auto"/>
        <w:rPr>
          <w:rFonts w:ascii="Lato" w:hAnsi="Lato"/>
          <w:sz w:val="20"/>
          <w:szCs w:val="20"/>
        </w:rPr>
      </w:pPr>
      <w:hyperlink r:id="rId7" w:history="1">
        <w:r>
          <w:rPr>
            <w:rStyle w:val="Hipercze"/>
            <w:rFonts w:ascii="Lato" w:hAnsi="Lato"/>
          </w:rPr>
          <w:t>m.knapik-klata@commplace.com.pl</w:t>
        </w:r>
      </w:hyperlink>
    </w:p>
    <w:p w14:paraId="167141E1" w14:textId="0DE56C12" w:rsidR="00D25330" w:rsidRPr="00377DD8" w:rsidRDefault="00D25330" w:rsidP="00D25330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>
        <w:rPr>
          <w:rFonts w:ascii="Lato" w:hAnsi="Lato"/>
          <w:sz w:val="20"/>
          <w:szCs w:val="20"/>
        </w:rPr>
        <w:t>984</w:t>
      </w:r>
    </w:p>
    <w:p w14:paraId="7D40B076" w14:textId="77777777" w:rsidR="00D25330" w:rsidRDefault="00D25330" w:rsidP="00D25330">
      <w:pPr>
        <w:spacing w:line="360" w:lineRule="auto"/>
      </w:pPr>
    </w:p>
    <w:sectPr w:rsidR="00D25330">
      <w:headerReference w:type="default" r:id="rId8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D7F0" w14:textId="77777777" w:rsidR="005C665F" w:rsidRDefault="005C665F" w:rsidP="00D25330">
      <w:pPr>
        <w:spacing w:line="240" w:lineRule="auto"/>
      </w:pPr>
      <w:r>
        <w:separator/>
      </w:r>
    </w:p>
  </w:endnote>
  <w:endnote w:type="continuationSeparator" w:id="0">
    <w:p w14:paraId="28D68375" w14:textId="77777777" w:rsidR="005C665F" w:rsidRDefault="005C665F" w:rsidP="00D25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686C" w14:textId="77777777" w:rsidR="005C665F" w:rsidRDefault="005C665F" w:rsidP="00D25330">
      <w:pPr>
        <w:spacing w:line="240" w:lineRule="auto"/>
      </w:pPr>
      <w:r>
        <w:separator/>
      </w:r>
    </w:p>
  </w:footnote>
  <w:footnote w:type="continuationSeparator" w:id="0">
    <w:p w14:paraId="68D3226F" w14:textId="77777777" w:rsidR="005C665F" w:rsidRDefault="005C665F" w:rsidP="00D25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1589" w14:textId="77777777" w:rsidR="00D25330" w:rsidRDefault="00D25330" w:rsidP="00D25330">
    <w:pPr>
      <w:pStyle w:val="Nagwek"/>
      <w:rPr>
        <w:rFonts w:ascii="Lato" w:hAnsi="Lato"/>
      </w:rPr>
    </w:pPr>
    <w:r w:rsidRPr="0073198D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354BB2BC" wp14:editId="3414AD84">
          <wp:simplePos x="0" y="0"/>
          <wp:positionH relativeFrom="column">
            <wp:posOffset>3771900</wp:posOffset>
          </wp:positionH>
          <wp:positionV relativeFrom="paragraph">
            <wp:posOffset>76200</wp:posOffset>
          </wp:positionV>
          <wp:extent cx="2016760" cy="678180"/>
          <wp:effectExtent l="0" t="0" r="2540" b="7620"/>
          <wp:wrapTight wrapText="bothSides">
            <wp:wrapPolygon edited="0">
              <wp:start x="0" y="0"/>
              <wp:lineTo x="0" y="21236"/>
              <wp:lineTo x="21423" y="21236"/>
              <wp:lineTo x="21423" y="0"/>
              <wp:lineTo x="0" y="0"/>
            </wp:wrapPolygon>
          </wp:wrapTight>
          <wp:docPr id="1978054637" name="Obraz 1978054637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940474" name="Obraz 1" descr="Obraz zawierający Czcionka, logo, Grafika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3A0468" w14:textId="77777777" w:rsidR="00D25330" w:rsidRDefault="00D25330" w:rsidP="00D25330">
    <w:pPr>
      <w:pStyle w:val="Nagwek"/>
      <w:rPr>
        <w:rFonts w:ascii="Lato" w:hAnsi="Lato"/>
      </w:rPr>
    </w:pPr>
  </w:p>
  <w:p w14:paraId="0599352F" w14:textId="4615FDD6" w:rsidR="00D25330" w:rsidRDefault="00D25330" w:rsidP="00D25330">
    <w:pPr>
      <w:pStyle w:val="Nagwek"/>
      <w:rPr>
        <w:rFonts w:ascii="Lato" w:hAnsi="Lato"/>
      </w:rPr>
    </w:pPr>
    <w:r w:rsidRPr="0073198D">
      <w:rPr>
        <w:rFonts w:ascii="Lato" w:hAnsi="Lato"/>
      </w:rPr>
      <w:t>INFORMACJA</w:t>
    </w:r>
  </w:p>
  <w:p w14:paraId="6DF8BE5B" w14:textId="77777777" w:rsidR="00D25330" w:rsidRDefault="00D25330" w:rsidP="00D25330">
    <w:pPr>
      <w:pStyle w:val="Nagwek"/>
      <w:rPr>
        <w:rFonts w:ascii="Lato" w:hAnsi="Lato"/>
      </w:rPr>
    </w:pPr>
  </w:p>
  <w:p w14:paraId="234D6656" w14:textId="77777777" w:rsidR="00D25330" w:rsidRDefault="00D25330" w:rsidP="00D253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96"/>
    <w:rsid w:val="005C665F"/>
    <w:rsid w:val="008271D5"/>
    <w:rsid w:val="00865D96"/>
    <w:rsid w:val="009B4280"/>
    <w:rsid w:val="00D2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8D26"/>
  <w15:docId w15:val="{401370EC-C2FD-4E17-BB3E-719AF822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253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330"/>
  </w:style>
  <w:style w:type="paragraph" w:styleId="Stopka">
    <w:name w:val="footer"/>
    <w:basedOn w:val="Normalny"/>
    <w:link w:val="StopkaZnak"/>
    <w:uiPriority w:val="99"/>
    <w:unhideWhenUsed/>
    <w:rsid w:val="00D253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330"/>
  </w:style>
  <w:style w:type="character" w:styleId="Uwydatnienie">
    <w:name w:val="Emphasis"/>
    <w:basedOn w:val="Domylnaczcionkaakapitu"/>
    <w:uiPriority w:val="20"/>
    <w:qFormat/>
    <w:rsid w:val="00D25330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5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L6dDp8IiE9CUDL0WsHlzCVpIFQ==">CgMxLjAaGgoBMBIVChMIBCoPCgtBQUFBOVNUNThqVRABGhoKATESFQoTCAQqDwoLQUFBQTlTVDU4alkQARoaCgEyEhUKEwgEKg8KC0FBQUE5U1Q1OGpjEAIaGgoBMxIVChMIBCoPCgtBQUFBOVNUNThqZxABGhoKATQSFQoTCAQqDwoLQUFBQTlTVDU4amcQAhoaCgE1EhUKEwgEKg8KC0FBQUE5U1Q1OGpvEAEaGgoBNhIVChMIBCoPCgtBQUFBOVNUNThqbxACGhoKATcSFQoTCAQqDwoLQUFBQTlTVDU4anMQARoaCgE4EhUKEwgEKg8KC0FBQUE5U1Q1OGpzEAIaGgoBORIVChMIBCoPCgtBQUFBOVNUNThqdxABGhsKAjEwEhUKEwgEKg8KC0FBQUE5U1Q1OGowEAEaGwoCMTESFQoTCAQqDwoLQUFBQTlTVDU4ajQQARobCgIxMhIVChMIBCoPCgtBQUFBOVNUNThqNBACGhsKAjEzEhUKEwgEKg8KC0FBQUE5U1Q1OGo0EAEaGwoCMTQSFQoTCAQqDwoLQUFBQTlTVDU4a0EQAiLJAwoLQUFBQTlTVDU4am8SlQMKC0FBQUE5U1Q1OGpvEgtBQUFBOVNUNThqbxoNCgl0ZXh0L2h0bWwSACIOCgp0ZXh0L3BsYWluEgAqGyIVMTA0MTU1MDE2MDU4OTk2MDI4Nzk1KAA4ADC9sunltDE484nq5bQxSvoBCiRhcHBsaWNhdGlvbi92bmQuZ29vZ2xlLWFwcHMuZG9jcy5tZHMa0QHC19rkAcoBCscBCk4KSE5hIHR5bSBrcnl0ZXJpYSBrd2FsaWZpa293YWxub8WbY2kgZG8gcHJvZ3JhbXUgc2nEmSBqZWRuYWsgbmllIGtvxYRjesSFLhABGAAScwptS3dhbGlmaWtvd2Fsbm/Fm8SHIG9rcmXFm2xhIG5hdG9taWFzdCwgY3p5IHBvZG1pb3Qg4oCTIG9wcsOzY3ogb2JpZWN1asSFY2VnbyBwcm9qZWt0dSDigJMgZHlzcG9udWplIHphc29iYW1pIBABGAEYAVoMeWt6ZDJzcnJvM2RocgIgAHgAggEUc3VnZ2VzdC43OHh3N2htOXVlZ2aaAQYIABAAGAAYvbLp5bQxIPOJ6uW0MUIUc3VnZ2VzdC43OHh3N2htOXVlZ2YizAIKC0FBQUE5U1Q1OGpzEpgCCgtBQUFBOVNUNThqcxILQUFBQTlTVDU4anMaDQoJdGV4dC9odG1sEgAiDgoKdGV4dC9wbGFpbhIAKhsiFTEwNDE1NTAxNjA1ODk5NjAyODc5NSgAOAAwueDq5bQxOKzs6uW0MUp+CiRhcHBsaWNhdGlvbi92bmQuZ29vZ2xlLWFwcHMuZG9jcy5tZHMaVsLX2uQBUApOCg4KCHBvZG1pb3R5EAEYABI6CjRwb2plZHluY3plIHByemVkc2nEmWJpb3JzdHdhIE3FmlAgb3JheiBzbWFsbCBtaWQtY2FwEAEYABgBWgxyNWc5YmVrMXN2MGhyAiAAeACCARRzdWdnZXN0Lm81OGlmbXV3YXlrbJoBBggAEAAYABi54OrltDEgrOzq5bQxQhRzdWdnZXN0Lm81OGlmbXV3YXlrbCKdAgoLQUFBQTlTVDU4ancS6QEKC0FBQUE5U1Q1OGp3EgtBQUFBOVNUNThqdxoNCgl0ZXh0L2h0bWwSACIOCgp0ZXh0L3BsYWluEgAqGyIVMTA0MTU1MDE2MDU4OTk2MDI4Nzk1KAA4ADCk8fDltDE4u6fx5bQxSk8KJGFwcGxpY2F0aW9uL3ZuZC5nb29nbGUtYXBwcy5kb2NzLm1kcxonwtfa5AEhGh8KGwoVdyBkb3Nrb25hxYJ5bSBzdG9wbml1EAEYABABWgxsMDVmM3BkbGVzMTlyAiAAeACCARRzdWdnZXN0LndjbnhnZWJnN2x5bZoBBggAEAAYABik8fDltDEgu6fx5bQxQhRzdWdnZXN0LndjbnhnZWJnN2x5bSKRAgoLQUFBQTY0dHlFX3MS2wEKC0FBQUE2NHR5RV9zEgtBQUFBNjR0eUVfcxoNCgl0ZXh0L2h0bWwSACIOCgp0ZXh0L3BsYWluEgAqGyIVMTA0MTU1MDE2MDU4OTk2MDI4Nzk1KAA4ADC++OjPsTE4hP3oz7ExSjsKJGFwcGxpY2F0aW9uL3ZuZC5nb29nbGUtYXBwcy5kb2NzLm1kcxoTwtfa5AENGgsKBwoBIhABGAAQAVoMeWtrNWI4emd3ZXAzcgIgAHgAggEUc3VnZ2VzdC44ZG82cXYyaXIxMDWaAQYIABAAGACwAQC4AQAYvvjoz7ExIIT96M+xMTAAQhRzdWdnZXN0LjhkbzZxdjJpcjEwNSKYAgoLQUFBQTlTVDU4alUS5AEKC0FBQUE5U1Q1OGpVEgtBQUFBOVNUNThqVRoNCgl0ZXh0L2h0bWwSACIOCgp0ZXh0L3BsYWluEgAqGyIVMTA0MTU1MDE2MDU4OTk2MDI4Nzk1KAA4ADCoiuLltDE43aLi5bQxSkoKJGFwcGxpY2F0aW9uL3ZuZC5nb29nbGUtYXBwcy5kb2NzLm1kcxoiwtfa5AEcGhoKFgoQcHJ6ZWRlIHdzenlzdGtpbRABGAAQAVoMdWhtc3BtbWd3OW12cgIgAHgAggEUc3VnZ2VzdC4yYWl4MGhpeWZ2bWuaAQYIABAAGAAYqIri5bQxIN2i4uW0MUIUc3VnZ2VzdC4yYWl4MGhpeWZ2bWsiiQIKC0FBQUE5U1Q1OGpZEtUBCgtBQUFBOVNUNThqWRILQUFBQTlTVDU4alkaDQoJdGV4dC9odG1sEgAiDgoKdGV4dC9wbGFpbhIAKhsiFTEwNDE1NTAxNjA1ODk5NjAyODc5NSgAOAAw/dbi5bQxOJ/d4uW0MUo7CiRhcHBsaWNhdGlvbi92bmQuZ29vZ2xlLWFwcHMuZG9jcy5tZHMaE8LX2uQBDRoLCgcKAXMQARgAEAFaDGN3cDRkd2JmOHkxc3ICIAB4AIIBFHN1Z2dlc3QuZmRic2FzdXZib2hsmgEGCAAQABgAGP3W4uW0MSCf3eLltDFCFHN1Z2dlc3QuZmRic2FzdXZib2hsIrkCCgtBQUFBOVNUNThrQRKFAgoLQUFBQTlTVDU4a0ESC0FBQUE5U1Q1OGtBGg0KCXRleHQvaHRtbBIAIg4KCnRleHQvcGxhaW4SACobIhUxMDQxNTUwMTYwNTg5OTYwMjg3OTUoADgAMIi29uW0MTi9u/bltDFKawokYXBwbGljYXRpb24vdm5kLmdvb2dsZS1hcHBzLmRvY3MubWRzGkPC19rkAT0SOwo3CjEsIE1vYmlsaXR5LCBJbmR1c3RyeSA0LjAvNS4wLCBJT1QgY3p5IEVsZWN0cm9uaWNzEAEYABABWgw0eWM3eG42ajd4NmtyAiAAeACCARRzdWdnZXN0LmdoeGp5d3c1MnlpbpoBBggAEAAYABiItvbltDEgvbv25bQxQhRzdWdnZXN0LmdoeGp5d3c1MnlpbiKNAgoLQUFBQTlTVDU4amMS2QEKC0FBQUE5U1Q1OGpjEgtBQUFBOVNUNThqYxoNCgl0ZXh0L2h0bWwSACIOCgp0ZXh0L3BsYWluEgAqGyIVMTA0MTU1MDE2MDU4OTk2MDI4Nzk1KAA4ADC3s+XltDE40rjl5bQxSj8KJGFwcGxpY2F0aW9uL3ZuZC5nb29nbGUtYXBwcy5kb2NzLm1kcxoXwtfa5AEREg8KCwoFbWHFgmUQARgAEAFaDGtidjJ6M3U5cXhsenICIAB4AIIBFHN1Z2dlc3QuNTgxMW1tNDNldTA2mgEGCAAQABgAGLez5eW0MSDSuOXltDFCFHN1Z2dlc3QuNTgxMW1tNDNldTA2ItoCCgtBQUFBOVNUNThqZxKmAgoLQUFBQTlTVDU4amcSC0FBQUE5U1Q1OGpnGg0KCXRleHQvaHRtbBIAIg4KCnRleHQvcGxhaW4SACobIhUxMDQxNTUwMTYwNTg5OTYwMjg3OTUoADgAMM305eW0MTjCwubltDFKiwEKJGFwcGxpY2F0aW9uL3ZuZC5nb29nbGUtYXBwcy5kb2NzLm1kcxpjwtfa5AFdClsKNgowemF0cnVkbmlhasSFY2UgbmllIHdpxJljZWogbmnFvCA0OTkgcHJhY293bmlrw7N3EAEYABIfChlvIMWbcmVkbmllaiBrYXBpdGFsaXphY2ppEAEYABgBWgxhajlpc2N2NWMwZDVyAiAAeACCARRzdWdnZXN0LmZmMXltOHY5Z3Jkd5oBBggAEAAYABjN9OXltDEgwsLm5bQxQhRzdWdnZXN0LmZmMXltOHY5Z3JkdyKMAgoLQUFBQTlTVDU4ajAS2AEKC0FBQUE5U1Q1OGowEgtBQUFBOVNUNThqMBoNCgl0ZXh0L2h0bWwSACIOCgp0ZXh0L3BsYWluEgAqGyIVMTA0MTU1MDE2MDU4OTk2MDI4Nzk1KAA4ADCPwPPltDE4itHz5bQxSj8KJGFwcGxpY2F0aW9uL3ZuZC5nb29nbGUtYXBwcy5kb2NzLm1kcxoXwtfa5AERGg8KCwoFd2llbHUQARgAEAFaCzZjbW82MWF0bGJ0cgIgAHgAggEUc3VnZ2VzdC43Mnprd29kMnJwazSaAQYIABAAGAAYj8Dz5bQxIIrR8+W0MUIUc3VnZ2VzdC43Mnprd29kMnJwazQi9AIKC0FBQUE5U1Q1OGo0EsACCgtBQUFBOVNUNThqNBILQUFBQTlTVDU4ajQaDQoJdGV4dC9odG1sEgAiDgoKdGV4dC9wbGFpbhIAKhsiFTEwNDE1NTAxNjA1ODk5NjAyODc5NSgAOAAw1fPz5bQxON2P9uW0MUqlAQokYXBwbGljYXRpb24vdm5kLmdvb2dsZS1hcHBzLmRvY3MubWRzGn3C19rkAXcKYAoNCgcsIG0uaW4uEAEYABJNCkd0YWtpY2ggamFrOiBTcGFjZSwgTGlmZSBzY2llbmNlLCBBSSwgQmxvY2tjaGFpbiwgQWdyaS1UZWNoLCBOdXRyaS1UZWNoLBABGAAYARoTCg8KCUJpb3RlY2ggaRABGAAQAVoMazluY3c2b25meTFpcgIgAHgAggEUc3VnZ2VzdC41MWY4Ynk1cjl4NWeaAQYIABAAGAAY1fPz5bQxIN2P9uW0MUIUc3VnZ2VzdC41MWY4Ynk1cjl4NWcyCGguZ2pkZ3hzMgloLjMwajB6bGwyDmguYzljbzl2dzA1bXl2MgloLjFmb2I5dGUyCWguM3pueXNoNzIOaC45NHM1OW9yMGxpOWgyCGgudHlqY3d0MgloLjNkeTZ2a204AGooChRzdWdnZXN0LnlzbzhpemM5YnFveBIQSmFrdWIgxbtiaWtvd3NraWooChRzdWdnZXN0LmNpcTg5b3ZrdTN5MxIQSmFrdWIgxbtiaWtvd3NraWonChNzdWdnZXN0Lmt6dHphN2RoMGl2EhBKYWt1YiDFu2Jpa293c2tpaigKFHN1Z2dlc3QuNXd1Ym9weDJqMHJrEhBKYWt1YiDFu2Jpa293c2tpaigKFHN1Z2dlc3QuODZpbzR6a2F6eTVhEhBKYWt1YiDFu2Jpa293c2tpaigKFHN1Z2dlc3QubXhqdnlobWgzMzEzEhBKYWt1YiDFu2Jpa293c2tpaigKFHN1Z2dlc3QueXdmankwOXVwaXgwEhBKYWt1YiDFu2Jpa293c2tpaigKFHN1Z2dlc3QuNGxoamE3cnA3b3ZsEhBKYWt1YiDFu2Jpa293c2tpaigKFHN1Z2dlc3QuZHF1cjEyZDR1M2V6EhBKYWt1YiDFu2Jpa293c2tpaigKFHN1Z2dlc3QuY2N3d3J4Z3h6bmhsEhBKYWt1YiDFu2Jpa293c2tpaicKE3N1Z2dlc3Qua3htOGxqNnVrZGYSEEpha3ViIMW7Ymlrb3dza2lqKAoUc3VnZ2VzdC5wbngxdTF3YXFpcm8SEEpha3ViIMW7Ymlrb3dza2lqKAoUc3VnZ2VzdC43OHh3N2htOXVlZ2YSEEpha3ViIMW7Ymlrb3dza2lqKAoUc3VnZ2VzdC44djFveGRodDMwcXcSEEpha3ViIMW7Ymlrb3dza2lqKAoUc3VnZ2VzdC5pY2FucWptdnBuaDYSEEpha3ViIMW7Ymlrb3dza2lqKAoUc3VnZ2VzdC5vNThpZm11d2F5a2wSEEpha3ViIMW7Ymlrb3dza2lqKAoUc3VnZ2VzdC54cTh5d2w0bjBkNm0SEEpha3ViIMW7Ymlrb3dza2lqKAoUc3VnZ2VzdC4yNTRmeDZwbW5od2wSEEpha3ViIMW7Ymlrb3dza2lqKAoUc3VnZ2VzdC53Y254Z2ViZzdseW0SEEpha3ViIMW7Ymlrb3dza2lqKAoUc3VnZ2VzdC5tZGc0dzRwMHFiY2ISEEpha3ViIMW7Ymlrb3dza2lqKAoUc3VnZ2VzdC5tYXU4anJhcHczMHgSEEpha3ViIMW7Ymlrb3dza2lqKAoUc3VnZ2VzdC5kbWNjcW91cWdlaXoSEEpha3ViIMW7Ymlrb3dza2lqKAoUc3VnZ2VzdC45aDk1a3drcGlkdHASEEpha3ViIMW7Ymlrb3dza2lqKAoUc3VnZ2VzdC55bnJ4czI4dmJoYnASEEpha3ViIMW7Ymlrb3dza2lqKAoUc3VnZ2VzdC5jdTB6NnZxZzh2NHUSEEpha3ViIMW7Ymlrb3dza2lqKAoUc3VnZ2VzdC5zY2o2bnZvaXk3NnYSEEpha3ViIMW7Ymlrb3dza2lqKAoUc3VnZ2VzdC53MjM0MGdidWdtd3cSEEpha3ViIMW7Ymlrb3dza2lqKAoUc3VnZ2VzdC44ZG82cXYyaXIxMDUSEEpha3ViIMW7Ymlrb3dza2lqKAoUc3VnZ2VzdC56MDlsaXB4NWVycWYSEEpha3ViIMW7Ymlrb3dza2lqKAoUc3VnZ2VzdC5nbXljYnRjaG5ibXASEEpha3ViIMW7Ymlrb3dza2lqKAoUc3VnZ2VzdC4yYWl4MGhpeWZ2bWsSEEpha3ViIMW7Ymlrb3dza2lqKAoUc3VnZ2VzdC5mZGJzYXN1dmJvaGwSEEpha3ViIMW7Ymlrb3dza2lqKAoUc3VnZ2VzdC5naHhqeXd3NTJ5aW4SEEpha3ViIMW7Ymlrb3dza2lqKAoUc3VnZ2VzdC4ybm5iM2U3emFoYzYSEEpha3ViIMW7Ymlrb3dza2lqKAoUc3VnZ2VzdC41ODExbW00M2V1MDYSEEpha3ViIMW7Ymlrb3dza2lqKAoUc3VnZ2VzdC5kMzFzaHN4bXRmaW0SEEpha3ViIMW7Ymlrb3dza2lqKAoUc3VnZ2VzdC5mZjF5bTh2OWdyZHcSEEpha3ViIMW7Ymlrb3dza2lqKAoUc3VnZ2VzdC5mMXlkNDFiaTd0MmwSEEpha3ViIMW7Ymlrb3dza2lqKAoUc3VnZ2VzdC43Mnprd29kMnJwazQSEEpha3ViIMW7Ymlrb3dza2lqKAoUc3VnZ2VzdC41MWY4Ynk1cjl4NWcSEEpha3ViIMW7Ymlrb3dza2lqKAoUc3VnZ2VzdC4zNXgxbng2eDdvN28SEEpha3ViIMW7Ymlrb3dza2lqKAoUc3VnZ2VzdC5wcGtpNTRjcmUwdDASEEpha3ViIMW7Ymlrb3dza2lqKAoUc3VnZ2VzdC5jZnFoaWh2Y2UzcW0SEEpha3ViIMW7Ymlrb3dza2lqKAoUc3VnZ2VzdC5sd3pvbjUzMmZsNjkSEEpha3ViIMW7Ymlrb3dza2lqKAoUc3VnZ2VzdC43cTAxbjNxNnVmOTISEEpha3ViIMW7Ymlrb3dza2lqKAoUc3VnZ2VzdC55a2tycGY4cDJqNDcSEEpha3ViIMW7Ymlrb3dza2lyITFTbHBRZE1vSUZoazFrWE1HUFdCbWF1alc3bThvZWdE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Knapik-Klata</cp:lastModifiedBy>
  <cp:revision>3</cp:revision>
  <dcterms:created xsi:type="dcterms:W3CDTF">2023-10-02T09:45:00Z</dcterms:created>
  <dcterms:modified xsi:type="dcterms:W3CDTF">2023-10-24T06:35:00Z</dcterms:modified>
</cp:coreProperties>
</file>