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BD85" w14:textId="77777777" w:rsidR="009E694A" w:rsidRDefault="009E694A" w:rsidP="00377DD8">
      <w:pPr>
        <w:pStyle w:val="Nagwek1"/>
        <w:spacing w:before="0" w:line="360" w:lineRule="auto"/>
        <w:rPr>
          <w:rFonts w:ascii="Lato" w:eastAsia="Calibri" w:hAnsi="Lato" w:cs="Calibri"/>
          <w:sz w:val="28"/>
          <w:szCs w:val="28"/>
        </w:rPr>
      </w:pPr>
    </w:p>
    <w:p w14:paraId="00000001" w14:textId="54EE2AB8" w:rsidR="007F47EA" w:rsidRPr="00377DD8" w:rsidRDefault="00000000" w:rsidP="00377DD8">
      <w:pPr>
        <w:pStyle w:val="Nagwek1"/>
        <w:spacing w:before="0" w:line="360" w:lineRule="auto"/>
        <w:rPr>
          <w:rFonts w:ascii="Lato" w:eastAsia="Calibri" w:hAnsi="Lato" w:cs="Calibri"/>
          <w:sz w:val="28"/>
          <w:szCs w:val="28"/>
        </w:rPr>
      </w:pPr>
      <w:r w:rsidRPr="00377DD8">
        <w:rPr>
          <w:rFonts w:ascii="Lato" w:eastAsia="Calibri" w:hAnsi="Lato" w:cs="Calibri"/>
          <w:sz w:val="28"/>
          <w:szCs w:val="28"/>
        </w:rPr>
        <w:t>3 przełomowe projekty z obszaru life science - inspiracje dla polskich start-</w:t>
      </w:r>
      <w:proofErr w:type="spellStart"/>
      <w:r w:rsidRPr="00377DD8">
        <w:rPr>
          <w:rFonts w:ascii="Lato" w:eastAsia="Calibri" w:hAnsi="Lato" w:cs="Calibri"/>
          <w:sz w:val="28"/>
          <w:szCs w:val="28"/>
        </w:rPr>
        <w:t>upów</w:t>
      </w:r>
      <w:proofErr w:type="spellEnd"/>
    </w:p>
    <w:p w14:paraId="00000002" w14:textId="77777777" w:rsidR="007F47EA" w:rsidRPr="00377DD8" w:rsidRDefault="007F47EA" w:rsidP="00377DD8">
      <w:pPr>
        <w:shd w:val="clear" w:color="auto" w:fill="FFFFFF"/>
        <w:spacing w:after="0" w:line="360" w:lineRule="auto"/>
        <w:rPr>
          <w:rFonts w:ascii="Lato" w:hAnsi="Lato"/>
          <w:color w:val="FF0000"/>
          <w:sz w:val="21"/>
          <w:szCs w:val="21"/>
        </w:rPr>
      </w:pPr>
    </w:p>
    <w:p w14:paraId="00000003" w14:textId="77777777" w:rsidR="007F47EA" w:rsidRPr="009E694A" w:rsidRDefault="00000000" w:rsidP="00377DD8">
      <w:pPr>
        <w:shd w:val="clear" w:color="auto" w:fill="FFFFFF"/>
        <w:spacing w:after="0" w:line="360" w:lineRule="auto"/>
        <w:jc w:val="both"/>
        <w:rPr>
          <w:rFonts w:ascii="Lato" w:hAnsi="Lato"/>
          <w:b/>
          <w:color w:val="181F38"/>
        </w:rPr>
      </w:pPr>
      <w:r w:rsidRPr="009E694A">
        <w:rPr>
          <w:rFonts w:ascii="Lato" w:hAnsi="Lato"/>
          <w:b/>
          <w:color w:val="181F38"/>
        </w:rPr>
        <w:t>Life science – szeroka dziedzina z pogranicza biologii, chemii, medycyny i inżynierii – jest areną nieustannych wyzwań i fascynujących odkryć. Nauka, technologia oraz przedsiębiorczość łączą siły, by tworzyć innowacje, które nie tylko transformują szereg branż i rynków, ale także dostarczają inspiracji dla start-</w:t>
      </w:r>
      <w:proofErr w:type="spellStart"/>
      <w:r w:rsidRPr="009E694A">
        <w:rPr>
          <w:rFonts w:ascii="Lato" w:hAnsi="Lato"/>
          <w:b/>
          <w:color w:val="181F38"/>
        </w:rPr>
        <w:t>upów</w:t>
      </w:r>
      <w:proofErr w:type="spellEnd"/>
      <w:r w:rsidRPr="009E694A">
        <w:rPr>
          <w:rFonts w:ascii="Lato" w:hAnsi="Lato"/>
          <w:b/>
          <w:color w:val="181F38"/>
        </w:rPr>
        <w:t>, poszukujących rozwiązań dla otaczających nas problemów. Przyjrzyjmy się bliżej, jak przełomowe projekty w dziedzinie life science wpływają na krajobraz innowacji, stanowiąc nieocenione źródło motywacji dla naukowców i przedsiębiorców.</w:t>
      </w:r>
    </w:p>
    <w:p w14:paraId="00000004" w14:textId="77777777" w:rsidR="007F47EA" w:rsidRPr="009E694A" w:rsidRDefault="007F47EA" w:rsidP="00377DD8">
      <w:pPr>
        <w:shd w:val="clear" w:color="auto" w:fill="FFFFFF"/>
        <w:spacing w:after="0" w:line="360" w:lineRule="auto"/>
        <w:rPr>
          <w:rFonts w:ascii="Lato" w:hAnsi="Lato"/>
          <w:color w:val="181F38"/>
        </w:rPr>
      </w:pPr>
    </w:p>
    <w:p w14:paraId="00000005" w14:textId="0E134E9C" w:rsidR="007F47EA" w:rsidRPr="009E694A" w:rsidRDefault="00000000" w:rsidP="00377DD8">
      <w:pPr>
        <w:shd w:val="clear" w:color="auto" w:fill="FFFFFF"/>
        <w:spacing w:after="0" w:line="360" w:lineRule="auto"/>
        <w:jc w:val="both"/>
        <w:rPr>
          <w:rFonts w:ascii="Lato" w:hAnsi="Lato"/>
          <w:color w:val="181F38"/>
        </w:rPr>
      </w:pPr>
      <w:r w:rsidRPr="009E694A">
        <w:rPr>
          <w:rFonts w:ascii="Lato" w:hAnsi="Lato"/>
          <w:color w:val="181F38"/>
        </w:rPr>
        <w:t>Innowacje w dziedzinie life science to fundamenty nowoczesnej medycyny i biotechnologii, które rewolucjonizują sposób, w jaki diagnozujemy, leczymy i rozumiemy ludzkie zdrowie. Przykładowo, immunoterapia, w tym terapie CAR-T, zmieniła całkowicie leczenie nowotworów – wprowadzenie modyfikacji genetycznych do komórek odpornościowych pozwala im bardziej skutecznie atakować komórki nowotworowe. Inżynieria tkankowa z kolei sprawiła, że realne staje się tworzenie sztucznych narządów i tkanek, co ma ogromny potencjał w transplantologii i leczeniu uszkodzeń narządów. Przykłady można mnożyć. Wyzwaniem w przypadku prac nad nowymi terapiami, lekami czy technologiami medycznymi</w:t>
      </w:r>
      <w:r w:rsidRPr="009E694A">
        <w:rPr>
          <w:rFonts w:ascii="Lato" w:hAnsi="Lato"/>
        </w:rPr>
        <w:t xml:space="preserve">, </w:t>
      </w:r>
      <w:r w:rsidRPr="009E694A">
        <w:rPr>
          <w:rFonts w:ascii="Lato" w:hAnsi="Lato"/>
          <w:color w:val="181F38"/>
        </w:rPr>
        <w:t>są koszty. Skomplikowane badania kliniczne, testy laboratoryjne i badania nad bezpieczeństwem, wymagają znacznych inwestycji. Dlatego wsparcie w postaci grantów oraz funduszy inwestycyjnych, odgrywa tu kluczową rolę – tak było m. in. w przypadku poniższych projektów.</w:t>
      </w:r>
    </w:p>
    <w:p w14:paraId="00000006" w14:textId="77777777" w:rsidR="007F47EA" w:rsidRPr="00377DD8" w:rsidRDefault="007F47EA" w:rsidP="00377DD8">
      <w:pPr>
        <w:shd w:val="clear" w:color="auto" w:fill="FFFFFF"/>
        <w:spacing w:after="0" w:line="360" w:lineRule="auto"/>
        <w:jc w:val="both"/>
        <w:rPr>
          <w:rFonts w:ascii="Lato" w:hAnsi="Lato"/>
          <w:color w:val="181F38"/>
          <w:sz w:val="21"/>
          <w:szCs w:val="21"/>
        </w:rPr>
      </w:pPr>
    </w:p>
    <w:p w14:paraId="00000007" w14:textId="77777777" w:rsidR="007F47EA" w:rsidRDefault="00000000" w:rsidP="00377DD8">
      <w:pPr>
        <w:pStyle w:val="Nagwek2"/>
        <w:spacing w:before="0" w:beforeAutospacing="0" w:after="0" w:afterAutospacing="0" w:line="360" w:lineRule="auto"/>
        <w:rPr>
          <w:rFonts w:ascii="Lato" w:eastAsia="Calibri" w:hAnsi="Lato" w:cs="Calibri"/>
        </w:rPr>
      </w:pPr>
      <w:r w:rsidRPr="00377DD8">
        <w:rPr>
          <w:rFonts w:ascii="Lato" w:eastAsia="Calibri" w:hAnsi="Lato" w:cs="Calibri"/>
        </w:rPr>
        <w:t>Przełomowe odkrycie w zwalczaniu chorób</w:t>
      </w:r>
    </w:p>
    <w:p w14:paraId="244CCDA1" w14:textId="77777777" w:rsidR="009E694A" w:rsidRPr="00377DD8" w:rsidRDefault="009E694A" w:rsidP="00377DD8">
      <w:pPr>
        <w:pStyle w:val="Nagwek2"/>
        <w:spacing w:before="0" w:beforeAutospacing="0" w:after="0" w:afterAutospacing="0" w:line="360" w:lineRule="auto"/>
        <w:rPr>
          <w:rFonts w:ascii="Lato" w:eastAsia="Calibri" w:hAnsi="Lato" w:cs="Calibri"/>
        </w:rPr>
      </w:pPr>
    </w:p>
    <w:p w14:paraId="00000008" w14:textId="77777777" w:rsidR="007F47EA" w:rsidRPr="009E694A" w:rsidRDefault="00000000" w:rsidP="00377DD8">
      <w:pPr>
        <w:shd w:val="clear" w:color="auto" w:fill="FFFFFF"/>
        <w:spacing w:after="0" w:line="360" w:lineRule="auto"/>
        <w:jc w:val="both"/>
        <w:rPr>
          <w:rFonts w:ascii="Lato" w:hAnsi="Lato"/>
          <w:color w:val="181F38"/>
        </w:rPr>
      </w:pPr>
      <w:r w:rsidRPr="009E694A">
        <w:rPr>
          <w:rFonts w:ascii="Lato" w:hAnsi="Lato"/>
          <w:color w:val="181F38"/>
        </w:rPr>
        <w:t xml:space="preserve">Przykładem jednej z niedawnych przełomowych innowacji jest technologia tzw. </w:t>
      </w:r>
      <w:proofErr w:type="spellStart"/>
      <w:r w:rsidRPr="009E694A">
        <w:rPr>
          <w:rFonts w:ascii="Lato" w:hAnsi="Lato"/>
          <w:color w:val="181F38"/>
        </w:rPr>
        <w:t>pikselacji</w:t>
      </w:r>
      <w:proofErr w:type="spellEnd"/>
      <w:r w:rsidRPr="009E694A">
        <w:rPr>
          <w:rFonts w:ascii="Lato" w:hAnsi="Lato"/>
          <w:color w:val="181F38"/>
        </w:rPr>
        <w:t xml:space="preserve"> molekularnej do analizy przestrzennej pojedynczych białek na powierzchni komórek w 3D. Szwedzka firma </w:t>
      </w:r>
      <w:proofErr w:type="spellStart"/>
      <w:r w:rsidRPr="009E694A">
        <w:rPr>
          <w:rFonts w:ascii="Lato" w:hAnsi="Lato"/>
          <w:color w:val="181F38"/>
        </w:rPr>
        <w:t>Pixelgen</w:t>
      </w:r>
      <w:proofErr w:type="spellEnd"/>
      <w:r w:rsidRPr="009E694A">
        <w:rPr>
          <w:rFonts w:ascii="Lato" w:hAnsi="Lato"/>
          <w:color w:val="181F38"/>
        </w:rPr>
        <w:t xml:space="preserve"> Technologies otrzymała na ten cel wielomilionowy grant (dokładna kwota jest objęta NDA) z programu Delta </w:t>
      </w:r>
      <w:proofErr w:type="spellStart"/>
      <w:r w:rsidRPr="009E694A">
        <w:rPr>
          <w:rFonts w:ascii="Lato" w:hAnsi="Lato"/>
          <w:color w:val="181F38"/>
        </w:rPr>
        <w:t>Tissue</w:t>
      </w:r>
      <w:proofErr w:type="spellEnd"/>
      <w:r w:rsidRPr="009E694A">
        <w:rPr>
          <w:rFonts w:ascii="Lato" w:hAnsi="Lato"/>
          <w:color w:val="181F38"/>
        </w:rPr>
        <w:t xml:space="preserve"> (DT), oferowanego przez międzynarodową organizację Wellcome </w:t>
      </w:r>
      <w:proofErr w:type="spellStart"/>
      <w:r w:rsidRPr="009E694A">
        <w:rPr>
          <w:rFonts w:ascii="Lato" w:hAnsi="Lato"/>
          <w:color w:val="181F38"/>
        </w:rPr>
        <w:t>Leap</w:t>
      </w:r>
      <w:proofErr w:type="spellEnd"/>
      <w:r w:rsidRPr="009E694A">
        <w:rPr>
          <w:rFonts w:ascii="Lato" w:hAnsi="Lato"/>
          <w:color w:val="181F38"/>
        </w:rPr>
        <w:t xml:space="preserve">. </w:t>
      </w:r>
    </w:p>
    <w:p w14:paraId="00000009" w14:textId="77777777" w:rsidR="007F47EA" w:rsidRPr="009E694A" w:rsidRDefault="00000000" w:rsidP="00377DD8">
      <w:pPr>
        <w:shd w:val="clear" w:color="auto" w:fill="FFFFFF"/>
        <w:spacing w:after="0" w:line="360" w:lineRule="auto"/>
        <w:jc w:val="both"/>
        <w:rPr>
          <w:rFonts w:ascii="Lato" w:hAnsi="Lato"/>
          <w:color w:val="181F38"/>
        </w:rPr>
      </w:pPr>
      <w:r w:rsidRPr="009E694A">
        <w:rPr>
          <w:rFonts w:ascii="Lato" w:hAnsi="Lato"/>
          <w:color w:val="181F38"/>
        </w:rPr>
        <w:t> </w:t>
      </w:r>
    </w:p>
    <w:p w14:paraId="0000000A" w14:textId="77777777" w:rsidR="007F47EA" w:rsidRPr="009E694A" w:rsidRDefault="00000000" w:rsidP="00377DD8">
      <w:pPr>
        <w:shd w:val="clear" w:color="auto" w:fill="FFFFFF"/>
        <w:spacing w:after="0" w:line="360" w:lineRule="auto"/>
        <w:jc w:val="both"/>
        <w:rPr>
          <w:rFonts w:ascii="Lato" w:hAnsi="Lato"/>
          <w:color w:val="181F38"/>
        </w:rPr>
      </w:pPr>
      <w:r w:rsidRPr="009E694A">
        <w:rPr>
          <w:rFonts w:ascii="Lato" w:hAnsi="Lato"/>
          <w:i/>
          <w:color w:val="181F38"/>
        </w:rPr>
        <w:lastRenderedPageBreak/>
        <w:t xml:space="preserve">– Rewolucyjne rozwiązanie opracowywane przez </w:t>
      </w:r>
      <w:proofErr w:type="spellStart"/>
      <w:r w:rsidRPr="009E694A">
        <w:rPr>
          <w:rFonts w:ascii="Lato" w:hAnsi="Lato"/>
          <w:i/>
          <w:color w:val="181F38"/>
        </w:rPr>
        <w:t>Pixelgen</w:t>
      </w:r>
      <w:proofErr w:type="spellEnd"/>
      <w:r w:rsidRPr="009E694A">
        <w:rPr>
          <w:rFonts w:ascii="Lato" w:hAnsi="Lato"/>
          <w:i/>
          <w:color w:val="181F38"/>
        </w:rPr>
        <w:t xml:space="preserve"> tworzy naukowe i technologiczne podstawy do stworzenia w przyszłości ultranowoczesnej platformy, umożliwiającej zwalczanie szeregu chorób zakaźnych i niezakaźnych o globalnym zasięgu, takich jak nowotwory, gruźlica czy malaria. Wszystko dzięki profilowaniu kompozycji białek na powierzchni komórek i w konsekwencji – możliwości określenia stanów wybranych tkanek, a także przewidywania na tej podstawie kierunku zmian tych stanów (tj. zdrowienie lub zaostrzanie się choroby). W trakcie współpracy z </w:t>
      </w:r>
      <w:proofErr w:type="spellStart"/>
      <w:r w:rsidRPr="009E694A">
        <w:rPr>
          <w:rFonts w:ascii="Lato" w:hAnsi="Lato"/>
          <w:i/>
          <w:color w:val="181F38"/>
        </w:rPr>
        <w:t>Pixelgen</w:t>
      </w:r>
      <w:proofErr w:type="spellEnd"/>
      <w:r w:rsidRPr="009E694A">
        <w:rPr>
          <w:rFonts w:ascii="Lato" w:hAnsi="Lato"/>
          <w:i/>
          <w:color w:val="181F38"/>
        </w:rPr>
        <w:t xml:space="preserve"> wykonaliśmy gruntowny przegląd i recenzję dokumentacji opracowanej wcześniej przez klienta. Choć pracowaliśmy pod olbrzymią presją czasu i w oparciu o bardzo lakoniczne i niejasne wytyczne programu, udało nam się przekazać klientowi cenne uwagi i znacznie wzmocnić wniosek aplikacyjny</w:t>
      </w:r>
      <w:r w:rsidRPr="009E694A">
        <w:rPr>
          <w:rFonts w:ascii="Lato" w:hAnsi="Lato"/>
          <w:color w:val="181F38"/>
        </w:rPr>
        <w:t xml:space="preserve"> — wspomina Jakub Żbikowski, Partner w Grupie Innology, ekspert do spraw programów międzynarodowych.</w:t>
      </w:r>
    </w:p>
    <w:p w14:paraId="0000000B" w14:textId="77777777" w:rsidR="007F47EA" w:rsidRPr="00377DD8" w:rsidRDefault="007F47EA" w:rsidP="00377DD8">
      <w:pPr>
        <w:shd w:val="clear" w:color="auto" w:fill="FFFFFF"/>
        <w:spacing w:after="0" w:line="360" w:lineRule="auto"/>
        <w:jc w:val="both"/>
        <w:rPr>
          <w:rFonts w:ascii="Lato" w:hAnsi="Lato"/>
          <w:color w:val="181F38"/>
          <w:sz w:val="21"/>
          <w:szCs w:val="21"/>
        </w:rPr>
      </w:pPr>
    </w:p>
    <w:p w14:paraId="0000000C" w14:textId="77777777" w:rsidR="007F47EA" w:rsidRDefault="00000000" w:rsidP="00377DD8">
      <w:pPr>
        <w:pStyle w:val="Nagwek2"/>
        <w:spacing w:before="0" w:beforeAutospacing="0" w:after="0" w:afterAutospacing="0" w:line="360" w:lineRule="auto"/>
        <w:rPr>
          <w:rFonts w:ascii="Lato" w:eastAsia="Calibri" w:hAnsi="Lato" w:cs="Calibri"/>
        </w:rPr>
      </w:pPr>
      <w:r w:rsidRPr="00377DD8">
        <w:rPr>
          <w:rFonts w:ascii="Lato" w:eastAsia="Calibri" w:hAnsi="Lato" w:cs="Calibri"/>
        </w:rPr>
        <w:t xml:space="preserve">Nowe spojrzenie na </w:t>
      </w:r>
      <w:proofErr w:type="spellStart"/>
      <w:r w:rsidRPr="00377DD8">
        <w:rPr>
          <w:rFonts w:ascii="Lato" w:eastAsia="Calibri" w:hAnsi="Lato" w:cs="Calibri"/>
        </w:rPr>
        <w:t>mikrobiom</w:t>
      </w:r>
      <w:proofErr w:type="spellEnd"/>
      <w:r w:rsidRPr="00377DD8">
        <w:rPr>
          <w:rFonts w:ascii="Lato" w:eastAsia="Calibri" w:hAnsi="Lato" w:cs="Calibri"/>
        </w:rPr>
        <w:t xml:space="preserve"> człowieka</w:t>
      </w:r>
    </w:p>
    <w:p w14:paraId="192AE7A2" w14:textId="77777777" w:rsidR="009E694A" w:rsidRPr="00377DD8" w:rsidRDefault="009E694A" w:rsidP="00377DD8">
      <w:pPr>
        <w:pStyle w:val="Nagwek2"/>
        <w:spacing w:before="0" w:beforeAutospacing="0" w:after="0" w:afterAutospacing="0" w:line="360" w:lineRule="auto"/>
        <w:rPr>
          <w:rFonts w:ascii="Lato" w:eastAsia="Calibri" w:hAnsi="Lato" w:cs="Calibri"/>
        </w:rPr>
      </w:pPr>
    </w:p>
    <w:p w14:paraId="0000000D" w14:textId="77777777" w:rsidR="007F47EA" w:rsidRPr="009E694A" w:rsidRDefault="00000000" w:rsidP="00377DD8">
      <w:pPr>
        <w:shd w:val="clear" w:color="auto" w:fill="FFFFFF"/>
        <w:spacing w:after="0" w:line="360" w:lineRule="auto"/>
        <w:jc w:val="both"/>
        <w:rPr>
          <w:rFonts w:ascii="Lato" w:hAnsi="Lato"/>
          <w:color w:val="181F38"/>
        </w:rPr>
      </w:pPr>
      <w:r w:rsidRPr="009E694A">
        <w:rPr>
          <w:rFonts w:ascii="Lato" w:hAnsi="Lato"/>
          <w:color w:val="181F38"/>
        </w:rPr>
        <w:t xml:space="preserve">Przełomowych innowacji nie trzeba szukać daleko. Gdański Human </w:t>
      </w:r>
      <w:proofErr w:type="spellStart"/>
      <w:r w:rsidRPr="009E694A">
        <w:rPr>
          <w:rFonts w:ascii="Lato" w:hAnsi="Lato"/>
          <w:color w:val="181F38"/>
        </w:rPr>
        <w:t>Biome</w:t>
      </w:r>
      <w:proofErr w:type="spellEnd"/>
      <w:r w:rsidRPr="009E694A">
        <w:rPr>
          <w:rFonts w:ascii="Lato" w:hAnsi="Lato"/>
          <w:color w:val="181F38"/>
        </w:rPr>
        <w:t xml:space="preserve"> </w:t>
      </w:r>
      <w:proofErr w:type="spellStart"/>
      <w:r w:rsidRPr="009E694A">
        <w:rPr>
          <w:rFonts w:ascii="Lato" w:hAnsi="Lato"/>
          <w:color w:val="181F38"/>
        </w:rPr>
        <w:t>Institute</w:t>
      </w:r>
      <w:proofErr w:type="spellEnd"/>
      <w:r w:rsidRPr="009E694A">
        <w:rPr>
          <w:rFonts w:ascii="Lato" w:hAnsi="Lato"/>
          <w:color w:val="181F38"/>
        </w:rPr>
        <w:t xml:space="preserve"> to pierwsza w Polsce i jedna z nielicznych w Europie spółka biotechnologiczna pracująca w obszarze </w:t>
      </w:r>
      <w:proofErr w:type="spellStart"/>
      <w:r w:rsidRPr="009E694A">
        <w:rPr>
          <w:rFonts w:ascii="Lato" w:hAnsi="Lato"/>
          <w:color w:val="181F38"/>
        </w:rPr>
        <w:t>mikrobiomu</w:t>
      </w:r>
      <w:proofErr w:type="spellEnd"/>
      <w:r w:rsidRPr="009E694A">
        <w:rPr>
          <w:rFonts w:ascii="Lato" w:hAnsi="Lato"/>
          <w:color w:val="181F38"/>
        </w:rPr>
        <w:t xml:space="preserve"> człowieka. Jednym z najważniejszych osiągnięć instytutu jest stworzenie unikalnego modelu takiego </w:t>
      </w:r>
      <w:proofErr w:type="spellStart"/>
      <w:r w:rsidRPr="009E694A">
        <w:rPr>
          <w:rFonts w:ascii="Lato" w:hAnsi="Lato"/>
          <w:color w:val="181F38"/>
        </w:rPr>
        <w:t>mikrobiomu</w:t>
      </w:r>
      <w:proofErr w:type="spellEnd"/>
      <w:r w:rsidRPr="009E694A">
        <w:rPr>
          <w:rFonts w:ascii="Lato" w:hAnsi="Lato"/>
          <w:color w:val="181F38"/>
        </w:rPr>
        <w:t xml:space="preserve">. Dzięki niemu naukowcy zdobywają nowe spojrzenie na rolę </w:t>
      </w:r>
      <w:proofErr w:type="spellStart"/>
      <w:r w:rsidRPr="009E694A">
        <w:rPr>
          <w:rFonts w:ascii="Lato" w:hAnsi="Lato"/>
          <w:color w:val="181F38"/>
        </w:rPr>
        <w:t>mikrobiomu</w:t>
      </w:r>
      <w:proofErr w:type="spellEnd"/>
      <w:r w:rsidRPr="009E694A">
        <w:rPr>
          <w:rFonts w:ascii="Lato" w:hAnsi="Lato"/>
          <w:color w:val="181F38"/>
        </w:rPr>
        <w:t xml:space="preserve"> w różnych chorobach, w tym w chorobach metabolicznych i autoimmunologicznych.</w:t>
      </w:r>
    </w:p>
    <w:p w14:paraId="7244D50F" w14:textId="77777777" w:rsidR="00377DD8" w:rsidRPr="009E694A" w:rsidRDefault="00377DD8" w:rsidP="00377DD8">
      <w:pPr>
        <w:shd w:val="clear" w:color="auto" w:fill="FFFFFF"/>
        <w:spacing w:after="0" w:line="360" w:lineRule="auto"/>
        <w:jc w:val="both"/>
        <w:rPr>
          <w:rFonts w:ascii="Lato" w:hAnsi="Lato"/>
          <w:color w:val="181F38"/>
        </w:rPr>
      </w:pPr>
    </w:p>
    <w:p w14:paraId="0000000E" w14:textId="485FC474" w:rsidR="007F47EA" w:rsidRPr="009E694A" w:rsidRDefault="00000000" w:rsidP="00377DD8">
      <w:pPr>
        <w:shd w:val="clear" w:color="auto" w:fill="FFFFFF"/>
        <w:spacing w:after="0" w:line="360" w:lineRule="auto"/>
        <w:jc w:val="both"/>
        <w:rPr>
          <w:rFonts w:ascii="Lato" w:hAnsi="Lato"/>
          <w:color w:val="181F38"/>
        </w:rPr>
      </w:pPr>
      <w:r w:rsidRPr="009E694A">
        <w:rPr>
          <w:rFonts w:ascii="Lato" w:hAnsi="Lato"/>
          <w:color w:val="181F38"/>
        </w:rPr>
        <w:t xml:space="preserve">Obecnie spółka skupia swoją uwagę na wykorzystaniu </w:t>
      </w:r>
      <w:proofErr w:type="spellStart"/>
      <w:r w:rsidRPr="009E694A">
        <w:rPr>
          <w:rFonts w:ascii="Lato" w:hAnsi="Lato"/>
          <w:color w:val="181F38"/>
        </w:rPr>
        <w:t>mikrobioty</w:t>
      </w:r>
      <w:proofErr w:type="spellEnd"/>
      <w:r w:rsidRPr="009E694A">
        <w:rPr>
          <w:rFonts w:ascii="Lato" w:hAnsi="Lato"/>
          <w:color w:val="181F38"/>
        </w:rPr>
        <w:t xml:space="preserve"> w przeciwdziałaniu epidemii oporności na środki przeciwdrobnoustrojowe (ang. </w:t>
      </w:r>
      <w:proofErr w:type="spellStart"/>
      <w:r w:rsidRPr="009E694A">
        <w:rPr>
          <w:rFonts w:ascii="Lato" w:hAnsi="Lato"/>
          <w:color w:val="181F38"/>
        </w:rPr>
        <w:t>antimicrobial</w:t>
      </w:r>
      <w:proofErr w:type="spellEnd"/>
      <w:r w:rsidRPr="009E694A">
        <w:rPr>
          <w:rFonts w:ascii="Lato" w:hAnsi="Lato"/>
          <w:color w:val="181F38"/>
        </w:rPr>
        <w:t xml:space="preserve"> </w:t>
      </w:r>
      <w:proofErr w:type="spellStart"/>
      <w:r w:rsidRPr="009E694A">
        <w:rPr>
          <w:rFonts w:ascii="Lato" w:hAnsi="Lato"/>
          <w:color w:val="181F38"/>
        </w:rPr>
        <w:t>resistance</w:t>
      </w:r>
      <w:proofErr w:type="spellEnd"/>
      <w:r w:rsidRPr="009E694A">
        <w:rPr>
          <w:rFonts w:ascii="Lato" w:hAnsi="Lato"/>
          <w:color w:val="181F38"/>
        </w:rPr>
        <w:t xml:space="preserve">, AMR). Jest to obecnie wiodący problem zdrowotny na świecie, przyczyniający się do ok. 10 milionów zgonów rocznie. Human </w:t>
      </w:r>
      <w:proofErr w:type="spellStart"/>
      <w:r w:rsidRPr="009E694A">
        <w:rPr>
          <w:rFonts w:ascii="Lato" w:hAnsi="Lato"/>
          <w:color w:val="181F38"/>
        </w:rPr>
        <w:t>Biome</w:t>
      </w:r>
      <w:proofErr w:type="spellEnd"/>
      <w:r w:rsidRPr="009E694A">
        <w:rPr>
          <w:rFonts w:ascii="Lato" w:hAnsi="Lato"/>
          <w:color w:val="181F38"/>
        </w:rPr>
        <w:t xml:space="preserve"> podjęło się opracowania przełomowej platformy do odkrywania i produkcji nowej generacji leków opartych na </w:t>
      </w:r>
      <w:proofErr w:type="spellStart"/>
      <w:r w:rsidRPr="009E694A">
        <w:rPr>
          <w:rFonts w:ascii="Lato" w:hAnsi="Lato"/>
          <w:color w:val="181F38"/>
        </w:rPr>
        <w:t>mikrobiocie</w:t>
      </w:r>
      <w:proofErr w:type="spellEnd"/>
      <w:r w:rsidRPr="009E694A">
        <w:rPr>
          <w:rFonts w:ascii="Lato" w:hAnsi="Lato"/>
          <w:color w:val="181F38"/>
        </w:rPr>
        <w:t>, pozwalających zwalczać – w zupełnie nowy, bezpieczny i niezwykle skuteczny sposób – zak</w:t>
      </w:r>
      <w:r w:rsidR="00377DD8" w:rsidRPr="009E694A">
        <w:rPr>
          <w:rFonts w:ascii="Lato" w:hAnsi="Lato"/>
          <w:color w:val="181F38"/>
        </w:rPr>
        <w:t>a</w:t>
      </w:r>
      <w:r w:rsidRPr="009E694A">
        <w:rPr>
          <w:rFonts w:ascii="Lato" w:hAnsi="Lato"/>
          <w:color w:val="181F38"/>
        </w:rPr>
        <w:t>żenia bakteriami antybiotykoodpornymi.</w:t>
      </w:r>
    </w:p>
    <w:p w14:paraId="286FABBE" w14:textId="77777777" w:rsidR="00377DD8" w:rsidRPr="009E694A" w:rsidRDefault="00377DD8" w:rsidP="00377DD8">
      <w:pPr>
        <w:shd w:val="clear" w:color="auto" w:fill="FFFFFF"/>
        <w:spacing w:after="0" w:line="360" w:lineRule="auto"/>
        <w:jc w:val="both"/>
        <w:rPr>
          <w:rFonts w:ascii="Lato" w:hAnsi="Lato"/>
          <w:color w:val="181F38"/>
        </w:rPr>
      </w:pPr>
    </w:p>
    <w:p w14:paraId="0000000F" w14:textId="77777777" w:rsidR="007F47EA" w:rsidRPr="009E694A" w:rsidRDefault="00000000" w:rsidP="00377DD8">
      <w:pPr>
        <w:shd w:val="clear" w:color="auto" w:fill="FFFFFF"/>
        <w:spacing w:after="0" w:line="360" w:lineRule="auto"/>
        <w:jc w:val="both"/>
        <w:rPr>
          <w:rFonts w:ascii="Lato" w:hAnsi="Lato"/>
          <w:color w:val="181F38"/>
        </w:rPr>
      </w:pPr>
      <w:r w:rsidRPr="009E694A">
        <w:rPr>
          <w:rFonts w:ascii="Lato" w:hAnsi="Lato"/>
          <w:color w:val="181F38"/>
        </w:rPr>
        <w:t xml:space="preserve">– </w:t>
      </w:r>
      <w:r w:rsidRPr="009E694A">
        <w:rPr>
          <w:rFonts w:ascii="Lato" w:hAnsi="Lato"/>
          <w:i/>
          <w:iCs/>
          <w:color w:val="181F38"/>
        </w:rPr>
        <w:t xml:space="preserve">Platforma tworzona przez Human </w:t>
      </w:r>
      <w:proofErr w:type="spellStart"/>
      <w:r w:rsidRPr="009E694A">
        <w:rPr>
          <w:rFonts w:ascii="Lato" w:hAnsi="Lato"/>
          <w:i/>
          <w:iCs/>
          <w:color w:val="181F38"/>
        </w:rPr>
        <w:t>Biome</w:t>
      </w:r>
      <w:proofErr w:type="spellEnd"/>
      <w:r w:rsidRPr="009E694A">
        <w:rPr>
          <w:rFonts w:ascii="Lato" w:hAnsi="Lato"/>
          <w:i/>
          <w:iCs/>
          <w:color w:val="181F38"/>
        </w:rPr>
        <w:t xml:space="preserve"> oraz terapie, które na jej bazie powstaną, reprezentują pionierskie na skalę światową podejście zarówno do profilaktyki, jak i leczenia pacjentów borykających się z infekcjami wywołanymi przez antybiotykoodporne bakterie. Jesteśmy dumni, że możemy wspierać ich w tych działaniach</w:t>
      </w:r>
      <w:r w:rsidRPr="009E694A">
        <w:rPr>
          <w:rFonts w:ascii="Lato" w:hAnsi="Lato"/>
          <w:color w:val="181F38"/>
        </w:rPr>
        <w:t xml:space="preserve"> – podkreśla Jakub Żbikowski.</w:t>
      </w:r>
    </w:p>
    <w:p w14:paraId="5F3AF49F" w14:textId="77777777" w:rsidR="00377DD8" w:rsidRPr="00377DD8" w:rsidRDefault="00377DD8" w:rsidP="00377DD8">
      <w:pPr>
        <w:shd w:val="clear" w:color="auto" w:fill="FFFFFF"/>
        <w:spacing w:after="0" w:line="360" w:lineRule="auto"/>
        <w:jc w:val="both"/>
        <w:rPr>
          <w:rFonts w:ascii="Lato" w:hAnsi="Lato"/>
          <w:color w:val="181F38"/>
          <w:sz w:val="21"/>
          <w:szCs w:val="21"/>
        </w:rPr>
      </w:pPr>
    </w:p>
    <w:p w14:paraId="00000010" w14:textId="77777777" w:rsidR="007F47EA" w:rsidRDefault="00000000" w:rsidP="00377DD8">
      <w:pPr>
        <w:pStyle w:val="Nagwek2"/>
        <w:spacing w:before="0" w:beforeAutospacing="0" w:after="0" w:afterAutospacing="0" w:line="360" w:lineRule="auto"/>
        <w:rPr>
          <w:rFonts w:ascii="Lato" w:eastAsia="Calibri" w:hAnsi="Lato" w:cs="Calibri"/>
        </w:rPr>
      </w:pPr>
      <w:r w:rsidRPr="00377DD8">
        <w:rPr>
          <w:rFonts w:ascii="Lato" w:eastAsia="Calibri" w:hAnsi="Lato" w:cs="Calibri"/>
        </w:rPr>
        <w:lastRenderedPageBreak/>
        <w:t>Ogromny krok naprzód w leczeniu przewlekłych ran</w:t>
      </w:r>
    </w:p>
    <w:p w14:paraId="3E8AE5EB" w14:textId="77777777" w:rsidR="009E694A" w:rsidRPr="00377DD8" w:rsidRDefault="009E694A" w:rsidP="00377DD8">
      <w:pPr>
        <w:pStyle w:val="Nagwek2"/>
        <w:spacing w:before="0" w:beforeAutospacing="0" w:after="0" w:afterAutospacing="0" w:line="360" w:lineRule="auto"/>
        <w:rPr>
          <w:rFonts w:ascii="Lato" w:eastAsia="Calibri" w:hAnsi="Lato" w:cs="Calibri"/>
        </w:rPr>
      </w:pPr>
    </w:p>
    <w:p w14:paraId="00000011" w14:textId="77777777" w:rsidR="007F47EA" w:rsidRPr="009E694A" w:rsidRDefault="00000000" w:rsidP="00377DD8">
      <w:pPr>
        <w:pStyle w:val="Nagwek2"/>
        <w:spacing w:before="0" w:beforeAutospacing="0" w:after="0" w:afterAutospacing="0" w:line="360" w:lineRule="auto"/>
        <w:rPr>
          <w:rFonts w:ascii="Lato" w:hAnsi="Lato"/>
          <w:color w:val="181F38"/>
          <w:sz w:val="22"/>
          <w:szCs w:val="22"/>
        </w:rPr>
      </w:pPr>
      <w:r w:rsidRPr="009E694A">
        <w:rPr>
          <w:rFonts w:ascii="Lato" w:eastAsia="Calibri" w:hAnsi="Lato" w:cs="Calibri"/>
          <w:color w:val="181F38"/>
          <w:sz w:val="22"/>
          <w:szCs w:val="22"/>
        </w:rPr>
        <w:t xml:space="preserve">Kolejnym podmiotem, dokonującym </w:t>
      </w:r>
      <w:r w:rsidRPr="009E694A">
        <w:rPr>
          <w:rFonts w:ascii="Lato" w:hAnsi="Lato"/>
          <w:color w:val="181F38"/>
          <w:sz w:val="22"/>
          <w:szCs w:val="22"/>
        </w:rPr>
        <w:t>rewolucyjnyc</w:t>
      </w:r>
      <w:r w:rsidRPr="009E694A">
        <w:rPr>
          <w:rFonts w:ascii="Lato" w:eastAsia="Calibri" w:hAnsi="Lato" w:cs="Calibri"/>
          <w:color w:val="181F38"/>
          <w:sz w:val="22"/>
          <w:szCs w:val="22"/>
        </w:rPr>
        <w:t>h zmian w świecie medycyny, jest szwedzka firma ILYA PHARMA AB. Startup opracował przełomową platformę biotechnologiczną z</w:t>
      </w:r>
      <w:r w:rsidRPr="009E694A">
        <w:rPr>
          <w:rFonts w:ascii="Lato" w:hAnsi="Lato"/>
          <w:color w:val="181F38"/>
          <w:sz w:val="22"/>
          <w:szCs w:val="22"/>
        </w:rPr>
        <w:t xml:space="preserve"> obszaru technologii komórkowych i genowych (ang. </w:t>
      </w:r>
      <w:proofErr w:type="spellStart"/>
      <w:r w:rsidRPr="009E694A">
        <w:rPr>
          <w:rFonts w:ascii="Lato" w:hAnsi="Lato"/>
          <w:color w:val="181F38"/>
          <w:sz w:val="22"/>
          <w:szCs w:val="22"/>
        </w:rPr>
        <w:t>cell</w:t>
      </w:r>
      <w:proofErr w:type="spellEnd"/>
      <w:r w:rsidRPr="009E694A">
        <w:rPr>
          <w:rFonts w:ascii="Lato" w:hAnsi="Lato"/>
          <w:color w:val="181F38"/>
          <w:sz w:val="22"/>
          <w:szCs w:val="22"/>
        </w:rPr>
        <w:t xml:space="preserve"> &amp; </w:t>
      </w:r>
      <w:proofErr w:type="spellStart"/>
      <w:r w:rsidRPr="009E694A">
        <w:rPr>
          <w:rFonts w:ascii="Lato" w:hAnsi="Lato"/>
          <w:color w:val="181F38"/>
          <w:sz w:val="22"/>
          <w:szCs w:val="22"/>
        </w:rPr>
        <w:t>gene</w:t>
      </w:r>
      <w:proofErr w:type="spellEnd"/>
      <w:r w:rsidRPr="009E694A">
        <w:rPr>
          <w:rFonts w:ascii="Lato" w:hAnsi="Lato"/>
          <w:color w:val="181F38"/>
          <w:sz w:val="22"/>
          <w:szCs w:val="22"/>
        </w:rPr>
        <w:t xml:space="preserve"> </w:t>
      </w:r>
      <w:proofErr w:type="spellStart"/>
      <w:r w:rsidRPr="009E694A">
        <w:rPr>
          <w:rFonts w:ascii="Lato" w:hAnsi="Lato"/>
          <w:color w:val="181F38"/>
          <w:sz w:val="22"/>
          <w:szCs w:val="22"/>
        </w:rPr>
        <w:t>therapies</w:t>
      </w:r>
      <w:proofErr w:type="spellEnd"/>
      <w:r w:rsidRPr="009E694A">
        <w:rPr>
          <w:rFonts w:ascii="Lato" w:hAnsi="Lato"/>
          <w:color w:val="181F38"/>
          <w:sz w:val="22"/>
          <w:szCs w:val="22"/>
        </w:rPr>
        <w:t xml:space="preserve">, CGT), </w:t>
      </w:r>
      <w:r w:rsidRPr="009E694A">
        <w:rPr>
          <w:rFonts w:ascii="Lato" w:eastAsia="Calibri" w:hAnsi="Lato" w:cs="Calibri"/>
          <w:color w:val="181F38"/>
          <w:sz w:val="22"/>
          <w:szCs w:val="22"/>
        </w:rPr>
        <w:t>pozwalającą na gene</w:t>
      </w:r>
      <w:r w:rsidRPr="009E694A">
        <w:rPr>
          <w:rFonts w:ascii="Lato" w:hAnsi="Lato"/>
          <w:color w:val="181F38"/>
          <w:sz w:val="22"/>
          <w:szCs w:val="22"/>
        </w:rPr>
        <w:t>tyczne modyfikowanie bakterii kwasu mlekowego (</w:t>
      </w:r>
      <w:proofErr w:type="spellStart"/>
      <w:r w:rsidRPr="009E694A">
        <w:rPr>
          <w:rFonts w:ascii="Lato" w:hAnsi="Lato"/>
          <w:color w:val="181F38"/>
          <w:sz w:val="22"/>
          <w:szCs w:val="22"/>
        </w:rPr>
        <w:t>Limosilactobacillus</w:t>
      </w:r>
      <w:proofErr w:type="spellEnd"/>
      <w:r w:rsidRPr="009E694A">
        <w:rPr>
          <w:rFonts w:ascii="Lato" w:hAnsi="Lato"/>
          <w:color w:val="181F38"/>
          <w:sz w:val="22"/>
          <w:szCs w:val="22"/>
        </w:rPr>
        <w:t xml:space="preserve"> </w:t>
      </w:r>
      <w:proofErr w:type="spellStart"/>
      <w:r w:rsidRPr="009E694A">
        <w:rPr>
          <w:rFonts w:ascii="Lato" w:hAnsi="Lato"/>
          <w:color w:val="181F38"/>
          <w:sz w:val="22"/>
          <w:szCs w:val="22"/>
        </w:rPr>
        <w:t>reuteri</w:t>
      </w:r>
      <w:proofErr w:type="spellEnd"/>
      <w:r w:rsidRPr="009E694A">
        <w:rPr>
          <w:rFonts w:ascii="Lato" w:hAnsi="Lato"/>
          <w:color w:val="181F38"/>
          <w:sz w:val="22"/>
          <w:szCs w:val="22"/>
        </w:rPr>
        <w:t xml:space="preserve">, L. </w:t>
      </w:r>
      <w:proofErr w:type="spellStart"/>
      <w:r w:rsidRPr="009E694A">
        <w:rPr>
          <w:rFonts w:ascii="Lato" w:hAnsi="Lato"/>
          <w:color w:val="181F38"/>
          <w:sz w:val="22"/>
          <w:szCs w:val="22"/>
        </w:rPr>
        <w:t>reuteri</w:t>
      </w:r>
      <w:proofErr w:type="spellEnd"/>
      <w:r w:rsidRPr="009E694A">
        <w:rPr>
          <w:rFonts w:ascii="Lato" w:hAnsi="Lato"/>
          <w:color w:val="181F38"/>
          <w:sz w:val="22"/>
          <w:szCs w:val="22"/>
        </w:rPr>
        <w:t xml:space="preserve">), aby po zastosowaniu u pacjentów były one w stanie działać jak precyzyjnie zaprojektowane bioreaktory, przyspieszające gojenie się trudnych, przewlekłych ran. </w:t>
      </w:r>
    </w:p>
    <w:p w14:paraId="4449C7CF" w14:textId="77777777" w:rsidR="00377DD8" w:rsidRPr="009E694A" w:rsidRDefault="00377DD8" w:rsidP="00377DD8">
      <w:pPr>
        <w:pStyle w:val="Nagwek2"/>
        <w:spacing w:before="0" w:beforeAutospacing="0" w:after="0" w:afterAutospacing="0" w:line="360" w:lineRule="auto"/>
        <w:rPr>
          <w:rFonts w:ascii="Lato" w:eastAsia="Calibri" w:hAnsi="Lato" w:cs="Calibri"/>
          <w:color w:val="181F38"/>
          <w:sz w:val="22"/>
          <w:szCs w:val="22"/>
        </w:rPr>
      </w:pPr>
    </w:p>
    <w:p w14:paraId="00000012" w14:textId="77777777" w:rsidR="007F47EA" w:rsidRPr="009E694A" w:rsidRDefault="00000000" w:rsidP="00377DD8">
      <w:pPr>
        <w:pStyle w:val="Nagwek2"/>
        <w:spacing w:before="0" w:beforeAutospacing="0" w:after="0" w:afterAutospacing="0" w:line="360" w:lineRule="auto"/>
        <w:rPr>
          <w:rFonts w:ascii="Lato" w:hAnsi="Lato"/>
          <w:color w:val="181F38"/>
          <w:sz w:val="22"/>
          <w:szCs w:val="22"/>
        </w:rPr>
      </w:pPr>
      <w:r w:rsidRPr="009E694A">
        <w:rPr>
          <w:rFonts w:ascii="Lato" w:eastAsia="Calibri" w:hAnsi="Lato" w:cs="Calibri"/>
          <w:color w:val="181F38"/>
          <w:sz w:val="22"/>
          <w:szCs w:val="22"/>
        </w:rPr>
        <w:t xml:space="preserve">Prace nad </w:t>
      </w:r>
      <w:r w:rsidRPr="009E694A">
        <w:rPr>
          <w:rFonts w:ascii="Lato" w:hAnsi="Lato"/>
          <w:color w:val="181F38"/>
          <w:sz w:val="22"/>
          <w:szCs w:val="22"/>
        </w:rPr>
        <w:t>technologią</w:t>
      </w:r>
      <w:r w:rsidRPr="009E694A">
        <w:rPr>
          <w:rFonts w:ascii="Lato" w:eastAsia="Calibri" w:hAnsi="Lato" w:cs="Calibri"/>
          <w:color w:val="181F38"/>
          <w:sz w:val="22"/>
          <w:szCs w:val="22"/>
        </w:rPr>
        <w:t xml:space="preserve"> koncentrują się na rozwijaniu skutecznych terapii, </w:t>
      </w:r>
      <w:r w:rsidRPr="009E694A">
        <w:rPr>
          <w:rFonts w:ascii="Lato" w:hAnsi="Lato"/>
          <w:color w:val="181F38"/>
          <w:sz w:val="22"/>
          <w:szCs w:val="22"/>
        </w:rPr>
        <w:t xml:space="preserve">m.in. u </w:t>
      </w:r>
      <w:r w:rsidRPr="009E694A">
        <w:rPr>
          <w:rFonts w:ascii="Lato" w:eastAsia="Calibri" w:hAnsi="Lato" w:cs="Calibri"/>
          <w:color w:val="181F38"/>
          <w:sz w:val="22"/>
          <w:szCs w:val="22"/>
        </w:rPr>
        <w:t xml:space="preserve"> pacjentów z cukrzycą, u których rany przewlekłe (szczególnie tzw. stopa cukrzyka) są </w:t>
      </w:r>
      <w:r w:rsidRPr="009E694A">
        <w:rPr>
          <w:rFonts w:ascii="Lato" w:hAnsi="Lato"/>
          <w:color w:val="181F38"/>
          <w:sz w:val="22"/>
          <w:szCs w:val="22"/>
        </w:rPr>
        <w:t>wyjątkowo</w:t>
      </w:r>
      <w:r w:rsidRPr="009E694A">
        <w:rPr>
          <w:rFonts w:ascii="Lato" w:eastAsia="Calibri" w:hAnsi="Lato" w:cs="Calibri"/>
          <w:color w:val="181F38"/>
          <w:sz w:val="22"/>
          <w:szCs w:val="22"/>
        </w:rPr>
        <w:t xml:space="preserve"> trudne do gojenia</w:t>
      </w:r>
      <w:r w:rsidRPr="009E694A">
        <w:rPr>
          <w:rFonts w:ascii="Lato" w:hAnsi="Lato"/>
          <w:color w:val="181F38"/>
          <w:sz w:val="22"/>
          <w:szCs w:val="22"/>
        </w:rPr>
        <w:t>. Rany te, gdy są n</w:t>
      </w:r>
      <w:r w:rsidRPr="009E694A">
        <w:rPr>
          <w:rFonts w:ascii="Lato" w:eastAsia="Calibri" w:hAnsi="Lato" w:cs="Calibri"/>
          <w:color w:val="181F38"/>
          <w:sz w:val="22"/>
          <w:szCs w:val="22"/>
        </w:rPr>
        <w:t>ieleczone lub nieodpowiednio leczone, mogą prowadzić do poważnych konsekwencji</w:t>
      </w:r>
      <w:r w:rsidRPr="009E694A">
        <w:rPr>
          <w:rFonts w:ascii="Lato" w:hAnsi="Lato"/>
          <w:color w:val="181F38"/>
          <w:sz w:val="22"/>
          <w:szCs w:val="22"/>
        </w:rPr>
        <w:t xml:space="preserve"> –</w:t>
      </w:r>
      <w:r w:rsidRPr="009E694A">
        <w:rPr>
          <w:rFonts w:ascii="Lato" w:eastAsia="Calibri" w:hAnsi="Lato" w:cs="Calibri"/>
          <w:color w:val="181F38"/>
          <w:sz w:val="22"/>
          <w:szCs w:val="22"/>
        </w:rPr>
        <w:t xml:space="preserve"> włącznie z amputacją chorej kończyny. Nowatorska technologia </w:t>
      </w:r>
      <w:proofErr w:type="spellStart"/>
      <w:r w:rsidRPr="009E694A">
        <w:rPr>
          <w:rFonts w:ascii="Lato" w:eastAsia="Calibri" w:hAnsi="Lato" w:cs="Calibri"/>
          <w:color w:val="181F38"/>
          <w:sz w:val="22"/>
          <w:szCs w:val="22"/>
        </w:rPr>
        <w:t>Ilya</w:t>
      </w:r>
      <w:proofErr w:type="spellEnd"/>
      <w:r w:rsidRPr="009E694A">
        <w:rPr>
          <w:rFonts w:ascii="Lato" w:eastAsia="Calibri" w:hAnsi="Lato" w:cs="Calibri"/>
          <w:color w:val="181F38"/>
          <w:sz w:val="22"/>
          <w:szCs w:val="22"/>
        </w:rPr>
        <w:t xml:space="preserve"> Pharma </w:t>
      </w:r>
      <w:r w:rsidRPr="009E694A">
        <w:rPr>
          <w:rFonts w:ascii="Lato" w:hAnsi="Lato"/>
          <w:color w:val="181F38"/>
          <w:sz w:val="22"/>
          <w:szCs w:val="22"/>
        </w:rPr>
        <w:t>ma szansę wyraźnie</w:t>
      </w:r>
      <w:r w:rsidRPr="009E694A">
        <w:rPr>
          <w:rFonts w:ascii="Lato" w:eastAsia="Calibri" w:hAnsi="Lato" w:cs="Calibri"/>
          <w:color w:val="181F38"/>
          <w:sz w:val="22"/>
          <w:szCs w:val="22"/>
        </w:rPr>
        <w:t xml:space="preserve"> poprawić jakość życia pacjentów cierpiących z powodu przewlekłych ran, skrócić czas leczenia i hospitalizacji, a w konsekwencji także znacznie zredukować koszty opieki </w:t>
      </w:r>
      <w:r w:rsidRPr="009E694A">
        <w:rPr>
          <w:rFonts w:ascii="Lato" w:hAnsi="Lato"/>
          <w:color w:val="181F38"/>
          <w:sz w:val="22"/>
          <w:szCs w:val="22"/>
        </w:rPr>
        <w:t>dla służby zdrowia.</w:t>
      </w:r>
    </w:p>
    <w:p w14:paraId="0E6EB699" w14:textId="77777777" w:rsidR="00377DD8" w:rsidRPr="009E694A" w:rsidRDefault="00377DD8" w:rsidP="00377DD8">
      <w:pPr>
        <w:pStyle w:val="Nagwek2"/>
        <w:spacing w:before="0" w:beforeAutospacing="0" w:after="0" w:afterAutospacing="0" w:line="360" w:lineRule="auto"/>
        <w:rPr>
          <w:rFonts w:ascii="Lato" w:eastAsia="Calibri" w:hAnsi="Lato" w:cs="Calibri"/>
          <w:color w:val="181F38"/>
          <w:sz w:val="22"/>
          <w:szCs w:val="22"/>
        </w:rPr>
      </w:pPr>
    </w:p>
    <w:p w14:paraId="00000013" w14:textId="77777777" w:rsidR="007F47EA" w:rsidRPr="009E694A" w:rsidRDefault="00000000" w:rsidP="00377DD8">
      <w:pPr>
        <w:shd w:val="clear" w:color="auto" w:fill="FFFFFF"/>
        <w:spacing w:after="0" w:line="360" w:lineRule="auto"/>
        <w:jc w:val="both"/>
        <w:rPr>
          <w:rFonts w:ascii="Lato" w:hAnsi="Lato"/>
          <w:color w:val="181F38"/>
        </w:rPr>
      </w:pPr>
      <w:r w:rsidRPr="009E694A">
        <w:rPr>
          <w:rFonts w:ascii="Lato" w:hAnsi="Lato"/>
          <w:i/>
          <w:color w:val="181F38"/>
        </w:rPr>
        <w:t xml:space="preserve">– Platforma opracowana przez </w:t>
      </w:r>
      <w:proofErr w:type="spellStart"/>
      <w:r w:rsidRPr="009E694A">
        <w:rPr>
          <w:rFonts w:ascii="Lato" w:hAnsi="Lato"/>
          <w:i/>
          <w:color w:val="181F38"/>
        </w:rPr>
        <w:t>Ilya</w:t>
      </w:r>
      <w:proofErr w:type="spellEnd"/>
      <w:r w:rsidRPr="009E694A">
        <w:rPr>
          <w:rFonts w:ascii="Lato" w:hAnsi="Lato"/>
          <w:i/>
          <w:color w:val="181F38"/>
        </w:rPr>
        <w:t xml:space="preserve"> Pharma ma niesamowity potencjał aplikacyjny w medycynie, zarówno terapeutycznej, jak i estetycznej. Odleżyny, stopa cukrzyka, wspomaganie leczenia onkologicznego, czy leczenie ran pooperacyjnych, to tylko kilka jej potencjalnych zastosowań. Droga do wprowadzenia tak nowatorskich produktów leczniczych do masowego użytku jest jednak kręta i czasochłonna, gdyż wymaga wieloletnich badań klinicznych i olbrzymiego finansowania. Z tego powodu pozyskiwanie środków prywatnych i publicznych jest w tym przypadku koniecznością. Mam olbrzymią przyjemność wspierać </w:t>
      </w:r>
      <w:proofErr w:type="spellStart"/>
      <w:r w:rsidRPr="009E694A">
        <w:rPr>
          <w:rFonts w:ascii="Lato" w:hAnsi="Lato"/>
          <w:i/>
          <w:color w:val="181F38"/>
        </w:rPr>
        <w:t>Ilya</w:t>
      </w:r>
      <w:proofErr w:type="spellEnd"/>
      <w:r w:rsidRPr="009E694A">
        <w:rPr>
          <w:rFonts w:ascii="Lato" w:hAnsi="Lato"/>
          <w:i/>
          <w:color w:val="181F38"/>
        </w:rPr>
        <w:t xml:space="preserve"> Pharma w tym procesie od 2016 roku</w:t>
      </w:r>
      <w:r w:rsidRPr="009E694A">
        <w:rPr>
          <w:rFonts w:ascii="Lato" w:hAnsi="Lato"/>
          <w:color w:val="181F38"/>
        </w:rPr>
        <w:t xml:space="preserve"> — komentuje Jakub Żbikowski, Partner w Grupie Innology, specjalista ds. międzynarodowych programów dotacyjnych. </w:t>
      </w:r>
    </w:p>
    <w:p w14:paraId="00000014" w14:textId="77777777" w:rsidR="007F47EA" w:rsidRPr="00377DD8" w:rsidRDefault="007F47EA" w:rsidP="00377DD8">
      <w:pPr>
        <w:pStyle w:val="Nagwek2"/>
        <w:spacing w:before="0" w:beforeAutospacing="0" w:after="0" w:afterAutospacing="0" w:line="360" w:lineRule="auto"/>
        <w:rPr>
          <w:rFonts w:ascii="Lato" w:eastAsia="Calibri" w:hAnsi="Lato" w:cs="Calibri"/>
          <w:color w:val="181F38"/>
          <w:sz w:val="21"/>
          <w:szCs w:val="21"/>
        </w:rPr>
      </w:pPr>
    </w:p>
    <w:p w14:paraId="00000015" w14:textId="77777777" w:rsidR="007F47EA" w:rsidRDefault="00000000" w:rsidP="00377DD8">
      <w:pPr>
        <w:pStyle w:val="Nagwek2"/>
        <w:spacing w:before="0" w:beforeAutospacing="0" w:after="0" w:afterAutospacing="0" w:line="360" w:lineRule="auto"/>
        <w:rPr>
          <w:rFonts w:ascii="Lato" w:eastAsia="Calibri" w:hAnsi="Lato" w:cs="Calibri"/>
        </w:rPr>
      </w:pPr>
      <w:r w:rsidRPr="00377DD8">
        <w:rPr>
          <w:rFonts w:ascii="Lato" w:eastAsia="Calibri" w:hAnsi="Lato" w:cs="Calibri"/>
        </w:rPr>
        <w:t>Ty też możesz zmieniać świat</w:t>
      </w:r>
    </w:p>
    <w:p w14:paraId="1F160475" w14:textId="77777777" w:rsidR="009E694A" w:rsidRPr="00377DD8" w:rsidRDefault="009E694A" w:rsidP="00377DD8">
      <w:pPr>
        <w:pStyle w:val="Nagwek2"/>
        <w:spacing w:before="0" w:beforeAutospacing="0" w:after="0" w:afterAutospacing="0" w:line="360" w:lineRule="auto"/>
        <w:rPr>
          <w:rFonts w:ascii="Lato" w:eastAsia="Calibri" w:hAnsi="Lato" w:cs="Calibri"/>
          <w:color w:val="181F38"/>
          <w:sz w:val="21"/>
          <w:szCs w:val="21"/>
        </w:rPr>
      </w:pPr>
    </w:p>
    <w:p w14:paraId="340E6AC8" w14:textId="77777777" w:rsidR="00377DD8" w:rsidRPr="009E694A" w:rsidRDefault="00000000" w:rsidP="00377DD8">
      <w:pPr>
        <w:spacing w:after="0" w:line="360" w:lineRule="auto"/>
        <w:rPr>
          <w:rFonts w:ascii="Lato" w:hAnsi="Lato"/>
          <w:color w:val="181F38"/>
        </w:rPr>
      </w:pPr>
      <w:r w:rsidRPr="009E694A">
        <w:rPr>
          <w:rFonts w:ascii="Lato" w:hAnsi="Lato"/>
          <w:color w:val="181F38"/>
        </w:rPr>
        <w:t>Ogromne przełomy w dziedzinie nauk medycznych i life science nie zawsze są dziełem potężnych korporacji czy wielkich instytucji badawczych. Często to pomysłodawcy, badacze i małe start-</w:t>
      </w:r>
      <w:proofErr w:type="spellStart"/>
      <w:r w:rsidRPr="009E694A">
        <w:rPr>
          <w:rFonts w:ascii="Lato" w:hAnsi="Lato"/>
          <w:color w:val="181F38"/>
        </w:rPr>
        <w:t>upy</w:t>
      </w:r>
      <w:proofErr w:type="spellEnd"/>
      <w:r w:rsidRPr="009E694A">
        <w:rPr>
          <w:rFonts w:ascii="Lato" w:hAnsi="Lato"/>
          <w:color w:val="181F38"/>
        </w:rPr>
        <w:t xml:space="preserve"> stoją za najważniejszymi innowacjami, które zmieniają świat. Warto jednak pamiętać, że każdy projekt, nawet ten z największym potencjałem, by przejść od wizji do </w:t>
      </w:r>
      <w:r w:rsidRPr="009E694A">
        <w:rPr>
          <w:rFonts w:ascii="Lato" w:hAnsi="Lato"/>
          <w:color w:val="181F38"/>
        </w:rPr>
        <w:lastRenderedPageBreak/>
        <w:t xml:space="preserve">rzeczywistości, potrzebuje wsparcia finansowego. Proces zdobywania grantów zwykle jest wymagający i czasochłonny. </w:t>
      </w:r>
    </w:p>
    <w:p w14:paraId="6AFAE582" w14:textId="77777777" w:rsidR="00377DD8" w:rsidRPr="009E694A" w:rsidRDefault="00377DD8" w:rsidP="00377DD8">
      <w:pPr>
        <w:spacing w:after="0" w:line="360" w:lineRule="auto"/>
        <w:rPr>
          <w:rFonts w:ascii="Lato" w:hAnsi="Lato"/>
          <w:color w:val="181F38"/>
        </w:rPr>
      </w:pPr>
    </w:p>
    <w:p w14:paraId="00000016" w14:textId="28233D7E" w:rsidR="007F47EA" w:rsidRPr="009E694A" w:rsidRDefault="00000000" w:rsidP="00377DD8">
      <w:pPr>
        <w:spacing w:after="0" w:line="360" w:lineRule="auto"/>
        <w:rPr>
          <w:rFonts w:ascii="Lato" w:hAnsi="Lato"/>
          <w:color w:val="181F38"/>
        </w:rPr>
      </w:pPr>
      <w:r w:rsidRPr="009E694A">
        <w:rPr>
          <w:rFonts w:ascii="Lato" w:hAnsi="Lato"/>
          <w:color w:val="181F38"/>
        </w:rPr>
        <w:t>Dlatego współpraca z podmiotami doświadczonymi w zdobywaniu dotacji na projekty w dziedzinie life science, może stanowić kluczową strategię dla start-</w:t>
      </w:r>
      <w:proofErr w:type="spellStart"/>
      <w:r w:rsidRPr="009E694A">
        <w:rPr>
          <w:rFonts w:ascii="Lato" w:hAnsi="Lato"/>
          <w:color w:val="181F38"/>
        </w:rPr>
        <w:t>upów</w:t>
      </w:r>
      <w:proofErr w:type="spellEnd"/>
      <w:r w:rsidRPr="009E694A">
        <w:rPr>
          <w:rFonts w:ascii="Lato" w:hAnsi="Lato"/>
          <w:color w:val="181F38"/>
        </w:rPr>
        <w:t>, dążących do realizowania swoich przełomowych pomysłów.</w:t>
      </w:r>
    </w:p>
    <w:p w14:paraId="21413309" w14:textId="77777777" w:rsidR="00F0208D" w:rsidRPr="009E694A" w:rsidRDefault="00F0208D" w:rsidP="00377DD8">
      <w:pPr>
        <w:spacing w:after="0" w:line="360" w:lineRule="auto"/>
        <w:rPr>
          <w:rFonts w:ascii="Lato" w:hAnsi="Lato"/>
          <w:color w:val="181F38"/>
        </w:rPr>
      </w:pPr>
    </w:p>
    <w:p w14:paraId="56393AA1" w14:textId="77777777" w:rsidR="00F0208D" w:rsidRPr="009E694A" w:rsidRDefault="00F0208D" w:rsidP="00377DD8">
      <w:pPr>
        <w:spacing w:after="0" w:line="360" w:lineRule="auto"/>
        <w:rPr>
          <w:rFonts w:ascii="Lato" w:hAnsi="Lato"/>
          <w:color w:val="181F38"/>
        </w:rPr>
      </w:pPr>
    </w:p>
    <w:p w14:paraId="2D2E26A5" w14:textId="77777777" w:rsidR="00F0208D" w:rsidRDefault="00F0208D" w:rsidP="00377DD8">
      <w:pPr>
        <w:spacing w:after="0" w:line="360" w:lineRule="auto"/>
        <w:rPr>
          <w:rFonts w:ascii="Lato" w:hAnsi="Lato"/>
          <w:color w:val="181F38"/>
          <w:sz w:val="21"/>
          <w:szCs w:val="21"/>
        </w:rPr>
      </w:pPr>
    </w:p>
    <w:p w14:paraId="34A59928" w14:textId="77777777" w:rsidR="00F0208D" w:rsidRDefault="00F0208D" w:rsidP="00F0208D">
      <w:pPr>
        <w:spacing w:line="240" w:lineRule="auto"/>
        <w:rPr>
          <w:rFonts w:ascii="Lato" w:hAnsi="Lato"/>
          <w:sz w:val="20"/>
          <w:szCs w:val="20"/>
        </w:rPr>
      </w:pPr>
    </w:p>
    <w:p w14:paraId="4FF167D3" w14:textId="77777777" w:rsidR="00F0208D" w:rsidRDefault="00F0208D" w:rsidP="00F0208D">
      <w:p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Kontakt dla mediów:</w:t>
      </w:r>
    </w:p>
    <w:p w14:paraId="7B28F0C0" w14:textId="77777777" w:rsidR="00F0208D" w:rsidRDefault="00F0208D" w:rsidP="00F0208D">
      <w:p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Małgorzata Knapik-Klata</w:t>
      </w:r>
    </w:p>
    <w:p w14:paraId="6CA8F38D" w14:textId="77777777" w:rsidR="00F0208D" w:rsidRDefault="00F0208D" w:rsidP="00F0208D">
      <w:p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 Manager</w:t>
      </w:r>
    </w:p>
    <w:p w14:paraId="28946787" w14:textId="77777777" w:rsidR="00F0208D" w:rsidRDefault="00000000" w:rsidP="00F0208D">
      <w:pPr>
        <w:spacing w:line="240" w:lineRule="auto"/>
        <w:rPr>
          <w:rFonts w:ascii="Lato" w:hAnsi="Lato"/>
          <w:sz w:val="20"/>
          <w:szCs w:val="20"/>
        </w:rPr>
      </w:pPr>
      <w:hyperlink r:id="rId7" w:history="1">
        <w:r w:rsidR="00F0208D">
          <w:rPr>
            <w:rStyle w:val="Hipercze"/>
            <w:rFonts w:ascii="Lato" w:hAnsi="Lato"/>
          </w:rPr>
          <w:t>m.knapik-klata@commplace.com.pl</w:t>
        </w:r>
      </w:hyperlink>
    </w:p>
    <w:p w14:paraId="711B0542" w14:textId="19CD36F3" w:rsidR="00F0208D" w:rsidRPr="00377DD8" w:rsidRDefault="00F0208D" w:rsidP="00F0208D">
      <w:pPr>
        <w:spacing w:line="360" w:lineRule="auto"/>
        <w:jc w:val="both"/>
        <w:rPr>
          <w:rFonts w:ascii="Lato" w:hAnsi="Lato"/>
        </w:rPr>
      </w:pPr>
      <w:r>
        <w:rPr>
          <w:rFonts w:ascii="Lato" w:hAnsi="Lato"/>
          <w:sz w:val="20"/>
          <w:szCs w:val="20"/>
        </w:rPr>
        <w:t>+ 48 509 986 984</w:t>
      </w:r>
    </w:p>
    <w:sectPr w:rsidR="00F0208D" w:rsidRPr="00377DD8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E63DA" w14:textId="77777777" w:rsidR="0084739B" w:rsidRDefault="0084739B" w:rsidP="00F0208D">
      <w:pPr>
        <w:spacing w:after="0" w:line="240" w:lineRule="auto"/>
      </w:pPr>
      <w:r>
        <w:separator/>
      </w:r>
    </w:p>
  </w:endnote>
  <w:endnote w:type="continuationSeparator" w:id="0">
    <w:p w14:paraId="38FA17E7" w14:textId="77777777" w:rsidR="0084739B" w:rsidRDefault="0084739B" w:rsidP="00F0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A45C" w14:textId="77777777" w:rsidR="0084739B" w:rsidRDefault="0084739B" w:rsidP="00F0208D">
      <w:pPr>
        <w:spacing w:after="0" w:line="240" w:lineRule="auto"/>
      </w:pPr>
      <w:r>
        <w:separator/>
      </w:r>
    </w:p>
  </w:footnote>
  <w:footnote w:type="continuationSeparator" w:id="0">
    <w:p w14:paraId="1214599A" w14:textId="77777777" w:rsidR="0084739B" w:rsidRDefault="0084739B" w:rsidP="00F0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CC05" w14:textId="77777777" w:rsidR="00F0208D" w:rsidRDefault="00F0208D" w:rsidP="00F0208D">
    <w:pPr>
      <w:pStyle w:val="Nagwek"/>
      <w:rPr>
        <w:rFonts w:ascii="Lato" w:hAnsi="Lato"/>
      </w:rPr>
    </w:pPr>
    <w:r w:rsidRPr="0073198D">
      <w:rPr>
        <w:rFonts w:ascii="Lato" w:hAnsi="Lato"/>
        <w:noProof/>
      </w:rPr>
      <w:drawing>
        <wp:anchor distT="0" distB="0" distL="114300" distR="114300" simplePos="0" relativeHeight="251659264" behindDoc="1" locked="0" layoutInCell="1" allowOverlap="1" wp14:anchorId="2A6994F2" wp14:editId="2F83CB93">
          <wp:simplePos x="0" y="0"/>
          <wp:positionH relativeFrom="column">
            <wp:posOffset>3771900</wp:posOffset>
          </wp:positionH>
          <wp:positionV relativeFrom="paragraph">
            <wp:posOffset>76200</wp:posOffset>
          </wp:positionV>
          <wp:extent cx="2016760" cy="678180"/>
          <wp:effectExtent l="0" t="0" r="2540" b="7620"/>
          <wp:wrapTight wrapText="bothSides">
            <wp:wrapPolygon edited="0">
              <wp:start x="0" y="0"/>
              <wp:lineTo x="0" y="21236"/>
              <wp:lineTo x="21423" y="21236"/>
              <wp:lineTo x="21423" y="0"/>
              <wp:lineTo x="0" y="0"/>
            </wp:wrapPolygon>
          </wp:wrapTight>
          <wp:docPr id="1978054637" name="Obraz 1978054637" descr="Obraz zawierający Czcionka, logo, Grafika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1940474" name="Obraz 1" descr="Obraz zawierający Czcionka, logo, Grafika,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4EBD13" w14:textId="77777777" w:rsidR="00F0208D" w:rsidRDefault="00F0208D" w:rsidP="00F0208D">
    <w:pPr>
      <w:pStyle w:val="Nagwek"/>
      <w:rPr>
        <w:rFonts w:ascii="Lato" w:hAnsi="Lato"/>
      </w:rPr>
    </w:pPr>
  </w:p>
  <w:p w14:paraId="79B852E6" w14:textId="77777777" w:rsidR="00F0208D" w:rsidRPr="0073198D" w:rsidRDefault="00F0208D" w:rsidP="00F0208D">
    <w:pPr>
      <w:pStyle w:val="Nagwek"/>
      <w:rPr>
        <w:rFonts w:ascii="Lato" w:hAnsi="Lato"/>
      </w:rPr>
    </w:pPr>
    <w:r w:rsidRPr="0073198D">
      <w:rPr>
        <w:rFonts w:ascii="Lato" w:hAnsi="Lato"/>
      </w:rPr>
      <w:t>INFORMACJA PRASOWA</w:t>
    </w:r>
  </w:p>
  <w:p w14:paraId="2F5128F5" w14:textId="77777777" w:rsidR="00F0208D" w:rsidRDefault="00F0208D" w:rsidP="00F020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14:paraId="322FBD07" w14:textId="77777777" w:rsidR="00F0208D" w:rsidRDefault="00F020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7EA"/>
    <w:rsid w:val="00377DD8"/>
    <w:rsid w:val="007074AD"/>
    <w:rsid w:val="007F47EA"/>
    <w:rsid w:val="0084739B"/>
    <w:rsid w:val="009E694A"/>
    <w:rsid w:val="00F0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2C8A"/>
  <w15:docId w15:val="{6C388F96-3F83-4F7C-ADE0-FA84963F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5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937B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color w:val="0070C0"/>
      <w:sz w:val="24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B937BA"/>
    <w:rPr>
      <w:rFonts w:eastAsia="Times New Roman" w:cs="Times New Roman"/>
      <w:bCs/>
      <w:color w:val="0070C0"/>
      <w:sz w:val="24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0C053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550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A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A3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80A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0A3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0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08D"/>
  </w:style>
  <w:style w:type="paragraph" w:styleId="Stopka">
    <w:name w:val="footer"/>
    <w:basedOn w:val="Normalny"/>
    <w:link w:val="StopkaZnak"/>
    <w:uiPriority w:val="99"/>
    <w:unhideWhenUsed/>
    <w:rsid w:val="00F0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ZLgLKDk+yDaxnbunqkmCRaAkqA==">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1011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Knapik-Klata</cp:lastModifiedBy>
  <cp:revision>4</cp:revision>
  <dcterms:created xsi:type="dcterms:W3CDTF">2023-09-27T13:25:00Z</dcterms:created>
  <dcterms:modified xsi:type="dcterms:W3CDTF">2023-10-13T07:32:00Z</dcterms:modified>
</cp:coreProperties>
</file>