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32E50633" w:rsidR="00440C37" w:rsidRPr="008751F0" w:rsidRDefault="00B34258" w:rsidP="008751F0">
      <w:pPr>
        <w:pStyle w:val="Nagwek2"/>
        <w:spacing w:before="0" w:after="0" w:line="360" w:lineRule="auto"/>
        <w:rPr>
          <w:rFonts w:ascii="Lato" w:hAnsi="Lato"/>
        </w:rPr>
      </w:pPr>
      <w:r w:rsidRPr="008751F0">
        <w:rPr>
          <w:rFonts w:ascii="Lato" w:hAnsi="Lato"/>
        </w:rPr>
        <w:t>Europa dostrzega znaczenie przełomowych</w:t>
      </w:r>
      <w:r w:rsidR="005066F0" w:rsidRPr="005066F0">
        <w:rPr>
          <w:rFonts w:ascii="Lato" w:hAnsi="Lato"/>
        </w:rPr>
        <w:t xml:space="preserve"> </w:t>
      </w:r>
      <w:r w:rsidR="005066F0" w:rsidRPr="008751F0">
        <w:rPr>
          <w:rFonts w:ascii="Lato" w:hAnsi="Lato"/>
        </w:rPr>
        <w:t>innowacji</w:t>
      </w:r>
      <w:r w:rsidRPr="008751F0">
        <w:rPr>
          <w:rFonts w:ascii="Lato" w:hAnsi="Lato"/>
        </w:rPr>
        <w:t>. A Polska?</w:t>
      </w:r>
    </w:p>
    <w:p w14:paraId="2791714D" w14:textId="77777777" w:rsidR="008751F0" w:rsidRPr="008751F0" w:rsidRDefault="008751F0" w:rsidP="008751F0">
      <w:pPr>
        <w:spacing w:line="360" w:lineRule="auto"/>
      </w:pPr>
    </w:p>
    <w:p w14:paraId="00000004" w14:textId="7E828D86" w:rsidR="00440C37" w:rsidRPr="008751F0" w:rsidRDefault="00B34258" w:rsidP="008751F0">
      <w:pPr>
        <w:spacing w:line="360" w:lineRule="auto"/>
        <w:jc w:val="both"/>
        <w:rPr>
          <w:rFonts w:ascii="Lato" w:hAnsi="Lato"/>
          <w:sz w:val="24"/>
          <w:szCs w:val="24"/>
        </w:rPr>
      </w:pPr>
      <w:r w:rsidRPr="008751F0">
        <w:rPr>
          <w:rFonts w:ascii="Lato" w:hAnsi="Lato"/>
          <w:b/>
          <w:sz w:val="24"/>
          <w:szCs w:val="24"/>
        </w:rPr>
        <w:t>Wyjście ze standardowego podejścia do rozwoju w poszukiwaniu przełomowych rozwiązań</w:t>
      </w:r>
      <w:r w:rsidR="008751F0" w:rsidRPr="008751F0">
        <w:rPr>
          <w:rFonts w:ascii="Lato" w:hAnsi="Lato"/>
          <w:b/>
          <w:sz w:val="24"/>
          <w:szCs w:val="24"/>
        </w:rPr>
        <w:t xml:space="preserve"> </w:t>
      </w:r>
      <w:r w:rsidRPr="008751F0">
        <w:rPr>
          <w:rFonts w:ascii="Lato" w:hAnsi="Lato"/>
          <w:b/>
          <w:sz w:val="24"/>
          <w:szCs w:val="24"/>
        </w:rPr>
        <w:t>paląc</w:t>
      </w:r>
      <w:r w:rsidR="008751F0" w:rsidRPr="008751F0">
        <w:rPr>
          <w:rFonts w:ascii="Lato" w:hAnsi="Lato"/>
          <w:b/>
          <w:sz w:val="24"/>
          <w:szCs w:val="24"/>
        </w:rPr>
        <w:t>ych</w:t>
      </w:r>
      <w:r w:rsidRPr="008751F0">
        <w:rPr>
          <w:rFonts w:ascii="Lato" w:hAnsi="Lato"/>
          <w:b/>
          <w:sz w:val="24"/>
          <w:szCs w:val="24"/>
        </w:rPr>
        <w:t xml:space="preserve"> problem</w:t>
      </w:r>
      <w:r w:rsidR="008751F0" w:rsidRPr="008751F0">
        <w:rPr>
          <w:rFonts w:ascii="Lato" w:hAnsi="Lato"/>
          <w:b/>
          <w:sz w:val="24"/>
          <w:szCs w:val="24"/>
        </w:rPr>
        <w:t>ów</w:t>
      </w:r>
      <w:r w:rsidRPr="008751F0">
        <w:rPr>
          <w:rFonts w:ascii="Lato" w:hAnsi="Lato"/>
          <w:b/>
          <w:sz w:val="24"/>
          <w:szCs w:val="24"/>
        </w:rPr>
        <w:t xml:space="preserve"> społeczn</w:t>
      </w:r>
      <w:r w:rsidR="008751F0" w:rsidRPr="008751F0">
        <w:rPr>
          <w:rFonts w:ascii="Lato" w:hAnsi="Lato"/>
          <w:b/>
          <w:sz w:val="24"/>
          <w:szCs w:val="24"/>
        </w:rPr>
        <w:t>ych</w:t>
      </w:r>
      <w:r w:rsidRPr="008751F0">
        <w:rPr>
          <w:rFonts w:ascii="Lato" w:hAnsi="Lato"/>
          <w:b/>
          <w:sz w:val="24"/>
          <w:szCs w:val="24"/>
        </w:rPr>
        <w:t xml:space="preserve"> i środowiskow</w:t>
      </w:r>
      <w:r w:rsidR="008751F0" w:rsidRPr="008751F0">
        <w:rPr>
          <w:rFonts w:ascii="Lato" w:hAnsi="Lato"/>
          <w:b/>
          <w:sz w:val="24"/>
          <w:szCs w:val="24"/>
        </w:rPr>
        <w:t>ych</w:t>
      </w:r>
      <w:r w:rsidRPr="008751F0">
        <w:rPr>
          <w:rFonts w:ascii="Lato" w:hAnsi="Lato"/>
          <w:b/>
          <w:sz w:val="24"/>
          <w:szCs w:val="24"/>
        </w:rPr>
        <w:t xml:space="preserve"> wymaga znacznych nakładów finansowych. Świat potrzebuje jednak rozwiązań tworzących nowe rynki, dlatego powstały publiczne programy oferujące zarówno wsparcie dotacyjne</w:t>
      </w:r>
      <w:r w:rsidR="008751F0" w:rsidRPr="008751F0">
        <w:rPr>
          <w:rFonts w:ascii="Lato" w:hAnsi="Lato"/>
          <w:b/>
          <w:sz w:val="24"/>
          <w:szCs w:val="24"/>
        </w:rPr>
        <w:t>,</w:t>
      </w:r>
      <w:r w:rsidRPr="008751F0">
        <w:rPr>
          <w:rFonts w:ascii="Lato" w:hAnsi="Lato"/>
          <w:b/>
          <w:sz w:val="24"/>
          <w:szCs w:val="24"/>
        </w:rPr>
        <w:t xml:space="preserve"> jaki i kapitałowe</w:t>
      </w:r>
      <w:r w:rsidR="008751F0" w:rsidRPr="008751F0">
        <w:rPr>
          <w:rFonts w:ascii="Lato" w:hAnsi="Lato"/>
          <w:b/>
          <w:sz w:val="24"/>
          <w:szCs w:val="24"/>
        </w:rPr>
        <w:t>,</w:t>
      </w:r>
      <w:r w:rsidRPr="008751F0">
        <w:rPr>
          <w:rFonts w:ascii="Lato" w:hAnsi="Lato"/>
          <w:b/>
          <w:sz w:val="24"/>
          <w:szCs w:val="24"/>
        </w:rPr>
        <w:t xml:space="preserve"> z przeznaczeniem na współfinansowanie rozwoju projektów </w:t>
      </w:r>
      <w:proofErr w:type="spellStart"/>
      <w:r w:rsidRPr="008751F0">
        <w:rPr>
          <w:rFonts w:ascii="Lato" w:hAnsi="Lato"/>
          <w:b/>
          <w:sz w:val="24"/>
          <w:szCs w:val="24"/>
        </w:rPr>
        <w:t>deep-tech</w:t>
      </w:r>
      <w:proofErr w:type="spellEnd"/>
      <w:r w:rsidRPr="008751F0">
        <w:rPr>
          <w:rFonts w:ascii="Lato" w:hAnsi="Lato"/>
          <w:b/>
          <w:sz w:val="24"/>
          <w:szCs w:val="24"/>
        </w:rPr>
        <w:t xml:space="preserve">. Publiczne fundusze przeznaczone na wsparcie projektów </w:t>
      </w:r>
      <w:proofErr w:type="spellStart"/>
      <w:r w:rsidRPr="008751F0">
        <w:rPr>
          <w:rFonts w:ascii="Lato" w:hAnsi="Lato"/>
          <w:b/>
          <w:sz w:val="24"/>
          <w:szCs w:val="24"/>
        </w:rPr>
        <w:t>deep-tech</w:t>
      </w:r>
      <w:proofErr w:type="spellEnd"/>
      <w:r w:rsidRPr="008751F0">
        <w:rPr>
          <w:rFonts w:ascii="Lato" w:hAnsi="Lato"/>
          <w:b/>
          <w:sz w:val="24"/>
          <w:szCs w:val="24"/>
        </w:rPr>
        <w:t xml:space="preserve"> mają kluczowe znaczenie dla rozwoju innowacyjnych technologii, które mogą zmieniać oblicze gospodarki i społeczeństwa. Projekty </w:t>
      </w:r>
      <w:proofErr w:type="spellStart"/>
      <w:r w:rsidRPr="008751F0">
        <w:rPr>
          <w:rFonts w:ascii="Lato" w:hAnsi="Lato"/>
          <w:b/>
          <w:sz w:val="24"/>
          <w:szCs w:val="24"/>
        </w:rPr>
        <w:t>deep-tech</w:t>
      </w:r>
      <w:proofErr w:type="spellEnd"/>
      <w:r w:rsidRPr="008751F0">
        <w:rPr>
          <w:rFonts w:ascii="Lato" w:hAnsi="Lato"/>
          <w:b/>
          <w:sz w:val="24"/>
          <w:szCs w:val="24"/>
        </w:rPr>
        <w:t>, oparte na zaawansowanych dziedzinach nauki, takich jak sztuczna inteligencja, biotechnologia, nanotechnologia czy kwantowa informatyka, mają potencjał rewolucjonizowania różnych sektorów, od zdrowia i przemysłu</w:t>
      </w:r>
      <w:r w:rsidR="008751F0" w:rsidRPr="008751F0">
        <w:rPr>
          <w:rFonts w:ascii="Lato" w:hAnsi="Lato"/>
          <w:b/>
          <w:sz w:val="24"/>
          <w:szCs w:val="24"/>
        </w:rPr>
        <w:t>,</w:t>
      </w:r>
      <w:r w:rsidRPr="008751F0">
        <w:rPr>
          <w:rFonts w:ascii="Lato" w:hAnsi="Lato"/>
          <w:b/>
          <w:sz w:val="24"/>
          <w:szCs w:val="24"/>
        </w:rPr>
        <w:t xml:space="preserve"> po transport i energetykę.</w:t>
      </w:r>
      <w:r w:rsidRPr="008751F0">
        <w:rPr>
          <w:rFonts w:ascii="Lato" w:hAnsi="Lato"/>
          <w:sz w:val="24"/>
          <w:szCs w:val="24"/>
        </w:rPr>
        <w:t xml:space="preserve"> </w:t>
      </w:r>
      <w:r w:rsidRPr="008751F0">
        <w:rPr>
          <w:rFonts w:ascii="Lato" w:hAnsi="Lato"/>
          <w:b/>
          <w:sz w:val="24"/>
          <w:szCs w:val="24"/>
        </w:rPr>
        <w:t xml:space="preserve">Dowiedz się, jakie możliwości publicznego finansowania </w:t>
      </w:r>
      <w:proofErr w:type="spellStart"/>
      <w:r w:rsidRPr="008751F0">
        <w:rPr>
          <w:rFonts w:ascii="Lato" w:hAnsi="Lato"/>
          <w:b/>
          <w:sz w:val="24"/>
          <w:szCs w:val="24"/>
        </w:rPr>
        <w:t>deep-techów</w:t>
      </w:r>
      <w:proofErr w:type="spellEnd"/>
      <w:r w:rsidRPr="008751F0">
        <w:rPr>
          <w:rFonts w:ascii="Lato" w:hAnsi="Lato"/>
          <w:b/>
          <w:sz w:val="24"/>
          <w:szCs w:val="24"/>
        </w:rPr>
        <w:t xml:space="preserve"> oferują obecnie europejskie i polskie programy i fundusze. </w:t>
      </w:r>
    </w:p>
    <w:p w14:paraId="00000005" w14:textId="77777777" w:rsidR="00440C37" w:rsidRPr="008751F0" w:rsidRDefault="00440C37" w:rsidP="008751F0">
      <w:pPr>
        <w:spacing w:line="360" w:lineRule="auto"/>
        <w:jc w:val="both"/>
        <w:rPr>
          <w:rFonts w:ascii="Lato" w:hAnsi="Lato"/>
          <w:sz w:val="24"/>
          <w:szCs w:val="24"/>
        </w:rPr>
      </w:pPr>
    </w:p>
    <w:p w14:paraId="00000006" w14:textId="77777777" w:rsidR="00440C37" w:rsidRPr="008751F0" w:rsidRDefault="00B34258" w:rsidP="008751F0">
      <w:pPr>
        <w:spacing w:line="360" w:lineRule="auto"/>
        <w:jc w:val="both"/>
        <w:rPr>
          <w:rFonts w:ascii="Lato" w:hAnsi="Lato"/>
          <w:sz w:val="24"/>
          <w:szCs w:val="24"/>
        </w:rPr>
      </w:pPr>
      <w:r w:rsidRPr="008751F0">
        <w:rPr>
          <w:rFonts w:ascii="Lato" w:hAnsi="Lato"/>
          <w:sz w:val="24"/>
          <w:szCs w:val="24"/>
        </w:rPr>
        <w:t xml:space="preserve">Raport The </w:t>
      </w:r>
      <w:proofErr w:type="spellStart"/>
      <w:r w:rsidRPr="008751F0">
        <w:rPr>
          <w:rFonts w:ascii="Lato" w:hAnsi="Lato"/>
          <w:sz w:val="24"/>
          <w:szCs w:val="24"/>
        </w:rPr>
        <w:t>European</w:t>
      </w:r>
      <w:proofErr w:type="spellEnd"/>
      <w:r w:rsidRPr="008751F0">
        <w:rPr>
          <w:rFonts w:ascii="Lato" w:hAnsi="Lato"/>
          <w:sz w:val="24"/>
          <w:szCs w:val="24"/>
        </w:rPr>
        <w:t xml:space="preserve"> </w:t>
      </w:r>
      <w:proofErr w:type="spellStart"/>
      <w:r w:rsidRPr="008751F0">
        <w:rPr>
          <w:rFonts w:ascii="Lato" w:hAnsi="Lato"/>
          <w:sz w:val="24"/>
          <w:szCs w:val="24"/>
        </w:rPr>
        <w:t>Deep</w:t>
      </w:r>
      <w:proofErr w:type="spellEnd"/>
      <w:r w:rsidRPr="008751F0">
        <w:rPr>
          <w:rFonts w:ascii="Lato" w:hAnsi="Lato"/>
          <w:sz w:val="24"/>
          <w:szCs w:val="24"/>
        </w:rPr>
        <w:t xml:space="preserve"> Tech Report 2023 opisuje poziom europejskiego finansowania innowacyjnych projektów </w:t>
      </w:r>
      <w:proofErr w:type="spellStart"/>
      <w:r w:rsidRPr="008751F0">
        <w:rPr>
          <w:rFonts w:ascii="Lato" w:hAnsi="Lato"/>
          <w:sz w:val="24"/>
          <w:szCs w:val="24"/>
        </w:rPr>
        <w:t>deep</w:t>
      </w:r>
      <w:proofErr w:type="spellEnd"/>
      <w:r w:rsidRPr="008751F0">
        <w:rPr>
          <w:rFonts w:ascii="Lato" w:hAnsi="Lato"/>
          <w:sz w:val="24"/>
          <w:szCs w:val="24"/>
        </w:rPr>
        <w:t xml:space="preserve"> </w:t>
      </w:r>
      <w:proofErr w:type="spellStart"/>
      <w:r w:rsidRPr="008751F0">
        <w:rPr>
          <w:rFonts w:ascii="Lato" w:hAnsi="Lato"/>
          <w:sz w:val="24"/>
          <w:szCs w:val="24"/>
        </w:rPr>
        <w:t>techowych</w:t>
      </w:r>
      <w:proofErr w:type="spellEnd"/>
      <w:r w:rsidRPr="008751F0">
        <w:rPr>
          <w:rFonts w:ascii="Lato" w:hAnsi="Lato"/>
          <w:sz w:val="24"/>
          <w:szCs w:val="24"/>
        </w:rPr>
        <w:t>. Jednym z najważniejszych programów jest obecnie Horyzont Europa, czyli ramowy program Unii Europejskiej w zakresie badań naukowych i innowacji w latach 2021-2027. W ciągu tych siedmiu lat na badania i innowacyjne rozwiązania zostanie przeznaczone łącznie 95,5 mld euro.</w:t>
      </w:r>
    </w:p>
    <w:p w14:paraId="00000007" w14:textId="77777777" w:rsidR="00440C37" w:rsidRPr="008751F0" w:rsidRDefault="00440C37" w:rsidP="008751F0">
      <w:pPr>
        <w:spacing w:line="360" w:lineRule="auto"/>
        <w:jc w:val="both"/>
        <w:rPr>
          <w:rFonts w:ascii="Lato" w:hAnsi="Lato"/>
          <w:sz w:val="24"/>
          <w:szCs w:val="24"/>
        </w:rPr>
      </w:pPr>
    </w:p>
    <w:p w14:paraId="00000008" w14:textId="77777777" w:rsidR="00440C37" w:rsidRPr="008751F0" w:rsidRDefault="00B34258" w:rsidP="008751F0">
      <w:pPr>
        <w:spacing w:line="360" w:lineRule="auto"/>
        <w:jc w:val="both"/>
        <w:rPr>
          <w:rFonts w:ascii="Lato" w:hAnsi="Lato"/>
          <w:sz w:val="24"/>
          <w:szCs w:val="24"/>
        </w:rPr>
      </w:pPr>
      <w:r w:rsidRPr="008751F0">
        <w:rPr>
          <w:rFonts w:ascii="Lato" w:hAnsi="Lato"/>
          <w:sz w:val="24"/>
          <w:szCs w:val="24"/>
        </w:rPr>
        <w:t xml:space="preserve">– </w:t>
      </w:r>
      <w:r w:rsidRPr="008751F0">
        <w:rPr>
          <w:rFonts w:ascii="Lato" w:hAnsi="Lato"/>
          <w:i/>
          <w:sz w:val="24"/>
          <w:szCs w:val="24"/>
        </w:rPr>
        <w:t xml:space="preserve">Najważniejszą inicjatywą programu Horyzont Europa w kontekście rozwiązań </w:t>
      </w:r>
      <w:proofErr w:type="spellStart"/>
      <w:r w:rsidRPr="008751F0">
        <w:rPr>
          <w:rFonts w:ascii="Lato" w:hAnsi="Lato"/>
          <w:i/>
          <w:sz w:val="24"/>
          <w:szCs w:val="24"/>
        </w:rPr>
        <w:t>deep</w:t>
      </w:r>
      <w:proofErr w:type="spellEnd"/>
      <w:r w:rsidRPr="008751F0">
        <w:rPr>
          <w:rFonts w:ascii="Lato" w:hAnsi="Lato"/>
          <w:i/>
          <w:sz w:val="24"/>
          <w:szCs w:val="24"/>
        </w:rPr>
        <w:t xml:space="preserve"> </w:t>
      </w:r>
      <w:proofErr w:type="spellStart"/>
      <w:r w:rsidRPr="008751F0">
        <w:rPr>
          <w:rFonts w:ascii="Lato" w:hAnsi="Lato"/>
          <w:i/>
          <w:sz w:val="24"/>
          <w:szCs w:val="24"/>
        </w:rPr>
        <w:t>techowych</w:t>
      </w:r>
      <w:proofErr w:type="spellEnd"/>
      <w:r w:rsidRPr="008751F0">
        <w:rPr>
          <w:rFonts w:ascii="Lato" w:hAnsi="Lato"/>
          <w:i/>
          <w:sz w:val="24"/>
          <w:szCs w:val="24"/>
        </w:rPr>
        <w:t xml:space="preserve"> jest Europejska Rada ds. Innowacji (EIC). Jej zadaniem jest wspieranie przełomowych innowacji w rozpoczynających działalność oraz małych i średnich przedsiębiorstwach, a także w spółkach o średniej kapitalizacji. Daje to szansę twórcom najbardziej ambitnych przełomowych rozwiązań na realizację projektów, które z racji wysokich kosztów oraz dużego ryzyka niepowodzenia nie byłyby możliwe bez zewnętrznego wsparcia </w:t>
      </w:r>
      <w:r w:rsidRPr="008751F0">
        <w:rPr>
          <w:rFonts w:ascii="Lato" w:hAnsi="Lato"/>
          <w:sz w:val="24"/>
          <w:szCs w:val="24"/>
        </w:rPr>
        <w:t xml:space="preserve">– tłumaczy Jakub Żbikowski z Innology, firmy doradczej, wspierającej spółki </w:t>
      </w:r>
      <w:proofErr w:type="spellStart"/>
      <w:r w:rsidRPr="008751F0">
        <w:rPr>
          <w:rFonts w:ascii="Lato" w:hAnsi="Lato"/>
          <w:sz w:val="24"/>
          <w:szCs w:val="24"/>
        </w:rPr>
        <w:t>deep</w:t>
      </w:r>
      <w:proofErr w:type="spellEnd"/>
      <w:r w:rsidRPr="008751F0">
        <w:rPr>
          <w:rFonts w:ascii="Lato" w:hAnsi="Lato"/>
          <w:sz w:val="24"/>
          <w:szCs w:val="24"/>
        </w:rPr>
        <w:t xml:space="preserve"> </w:t>
      </w:r>
      <w:proofErr w:type="spellStart"/>
      <w:r w:rsidRPr="008751F0">
        <w:rPr>
          <w:rFonts w:ascii="Lato" w:hAnsi="Lato"/>
          <w:sz w:val="24"/>
          <w:szCs w:val="24"/>
        </w:rPr>
        <w:t>tech</w:t>
      </w:r>
      <w:proofErr w:type="spellEnd"/>
      <w:r w:rsidRPr="008751F0">
        <w:rPr>
          <w:rFonts w:ascii="Lato" w:hAnsi="Lato"/>
          <w:sz w:val="24"/>
          <w:szCs w:val="24"/>
        </w:rPr>
        <w:t xml:space="preserve"> w aplikowaniu o środki unijne na badania, rozwój i innowacje.</w:t>
      </w:r>
    </w:p>
    <w:p w14:paraId="00000009" w14:textId="77777777" w:rsidR="00440C37" w:rsidRPr="008751F0" w:rsidRDefault="00440C37" w:rsidP="008751F0">
      <w:pPr>
        <w:spacing w:line="360" w:lineRule="auto"/>
        <w:jc w:val="both"/>
        <w:rPr>
          <w:rFonts w:ascii="Lato" w:hAnsi="Lato"/>
          <w:sz w:val="24"/>
          <w:szCs w:val="24"/>
        </w:rPr>
      </w:pPr>
    </w:p>
    <w:p w14:paraId="0000000A" w14:textId="77777777" w:rsidR="00440C37" w:rsidRPr="008751F0" w:rsidRDefault="00B34258" w:rsidP="008751F0">
      <w:pPr>
        <w:spacing w:line="360" w:lineRule="auto"/>
        <w:jc w:val="both"/>
        <w:rPr>
          <w:rFonts w:ascii="Lato" w:hAnsi="Lato"/>
          <w:sz w:val="24"/>
          <w:szCs w:val="24"/>
        </w:rPr>
      </w:pPr>
      <w:r w:rsidRPr="008751F0">
        <w:rPr>
          <w:rFonts w:ascii="Lato" w:hAnsi="Lato"/>
          <w:sz w:val="24"/>
          <w:szCs w:val="24"/>
        </w:rPr>
        <w:lastRenderedPageBreak/>
        <w:t xml:space="preserve">Inną inicjatywą programu Horyzont Europa jest EIT </w:t>
      </w:r>
      <w:proofErr w:type="spellStart"/>
      <w:r w:rsidRPr="008751F0">
        <w:rPr>
          <w:rFonts w:ascii="Lato" w:hAnsi="Lato"/>
          <w:sz w:val="24"/>
          <w:szCs w:val="24"/>
        </w:rPr>
        <w:t>InnoEnergy</w:t>
      </w:r>
      <w:proofErr w:type="spellEnd"/>
      <w:r w:rsidRPr="008751F0">
        <w:rPr>
          <w:rFonts w:ascii="Lato" w:hAnsi="Lato"/>
          <w:sz w:val="24"/>
          <w:szCs w:val="24"/>
        </w:rPr>
        <w:t xml:space="preserve">, jeden z najbardziej aktywnych inwestorów w energię w Europie, wspierany przez Europejski Instytut Technologiczny (EIT). Kolejny istotny program to Fundusz Innowacji NATO (NIF) – fundusz VC o wartości 1 mld euro wspierający przełomowe technologie w celu zagwarantowania bezpieczeństwa obywateli sojuszu. Fundusz JEDI, czyli europejska DARPA ma na celu przekazywanie łącznie 150 mln euro rocznych dotacji na wyzwania związane ze środowiskiem, energią, ochroną zdrowia, kosmosem i technologiami cyfrowymi. </w:t>
      </w:r>
    </w:p>
    <w:p w14:paraId="0000000B" w14:textId="77777777" w:rsidR="00440C37" w:rsidRPr="008751F0" w:rsidRDefault="00440C37" w:rsidP="008751F0">
      <w:pPr>
        <w:spacing w:line="360" w:lineRule="auto"/>
        <w:jc w:val="both"/>
        <w:rPr>
          <w:rFonts w:ascii="Lato" w:hAnsi="Lato"/>
          <w:sz w:val="24"/>
          <w:szCs w:val="24"/>
        </w:rPr>
      </w:pPr>
    </w:p>
    <w:p w14:paraId="0000000C" w14:textId="77777777" w:rsidR="00440C37" w:rsidRPr="008751F0" w:rsidRDefault="00B34258" w:rsidP="008751F0">
      <w:pPr>
        <w:spacing w:line="360" w:lineRule="auto"/>
        <w:jc w:val="both"/>
        <w:rPr>
          <w:rFonts w:ascii="Lato" w:hAnsi="Lato"/>
          <w:sz w:val="24"/>
          <w:szCs w:val="24"/>
        </w:rPr>
      </w:pPr>
      <w:r w:rsidRPr="008751F0">
        <w:rPr>
          <w:rFonts w:ascii="Lato" w:hAnsi="Lato"/>
          <w:sz w:val="24"/>
          <w:szCs w:val="24"/>
        </w:rPr>
        <w:t xml:space="preserve">Oprócz wymienionych programów wiele krajów europejskich stworzyło specjalną politykę wewnątrzkrajową wspierającą rozwój przełomowych innowacji. Największe gospodarki Europy, Niemcy, Wielka Brytania oraz Francja dysponują dedykowanymi programami skierowanymi do przedstawicieli </w:t>
      </w:r>
      <w:proofErr w:type="spellStart"/>
      <w:r w:rsidRPr="008751F0">
        <w:rPr>
          <w:rFonts w:ascii="Lato" w:hAnsi="Lato"/>
          <w:sz w:val="24"/>
          <w:szCs w:val="24"/>
        </w:rPr>
        <w:t>deep-tech</w:t>
      </w:r>
      <w:proofErr w:type="spellEnd"/>
      <w:r w:rsidRPr="008751F0">
        <w:rPr>
          <w:rFonts w:ascii="Lato" w:hAnsi="Lato"/>
          <w:sz w:val="24"/>
          <w:szCs w:val="24"/>
        </w:rPr>
        <w:t xml:space="preserve">. W Niemczech powstała Agencja Federalna ds. Przełomowych Innowacji (SPRIN-D), planowanie jest również utworzenie funduszu o wartości 30 miliardów euro na wsparcie startupów zorientowanych na technologię. </w:t>
      </w:r>
      <w:proofErr w:type="spellStart"/>
      <w:r w:rsidRPr="008751F0">
        <w:rPr>
          <w:rFonts w:ascii="Lato" w:hAnsi="Lato"/>
          <w:sz w:val="24"/>
          <w:szCs w:val="24"/>
        </w:rPr>
        <w:t>Bpifrance</w:t>
      </w:r>
      <w:proofErr w:type="spellEnd"/>
      <w:r w:rsidRPr="008751F0">
        <w:rPr>
          <w:rFonts w:ascii="Lato" w:hAnsi="Lato"/>
          <w:sz w:val="24"/>
          <w:szCs w:val="24"/>
        </w:rPr>
        <w:t xml:space="preserve">, francuski bank inwestycyjny od 2016 r. przeznaczył ponad 3 mld dolarów na </w:t>
      </w:r>
      <w:proofErr w:type="spellStart"/>
      <w:r w:rsidRPr="008751F0">
        <w:rPr>
          <w:rFonts w:ascii="Lato" w:hAnsi="Lato"/>
          <w:sz w:val="24"/>
          <w:szCs w:val="24"/>
        </w:rPr>
        <w:t>deep</w:t>
      </w:r>
      <w:proofErr w:type="spellEnd"/>
      <w:r w:rsidRPr="008751F0">
        <w:rPr>
          <w:rFonts w:ascii="Lato" w:hAnsi="Lato"/>
          <w:sz w:val="24"/>
          <w:szCs w:val="24"/>
        </w:rPr>
        <w:t xml:space="preserve"> </w:t>
      </w:r>
      <w:proofErr w:type="spellStart"/>
      <w:r w:rsidRPr="008751F0">
        <w:rPr>
          <w:rFonts w:ascii="Lato" w:hAnsi="Lato"/>
          <w:sz w:val="24"/>
          <w:szCs w:val="24"/>
        </w:rPr>
        <w:t>tech</w:t>
      </w:r>
      <w:proofErr w:type="spellEnd"/>
      <w:r w:rsidRPr="008751F0">
        <w:rPr>
          <w:rFonts w:ascii="Lato" w:hAnsi="Lato"/>
          <w:sz w:val="24"/>
          <w:szCs w:val="24"/>
        </w:rPr>
        <w:t xml:space="preserve">. Francja przeznaczyła też 2,3 mld euro na strategię wspierającą </w:t>
      </w:r>
      <w:proofErr w:type="spellStart"/>
      <w:r w:rsidRPr="008751F0">
        <w:rPr>
          <w:rFonts w:ascii="Lato" w:hAnsi="Lato"/>
          <w:sz w:val="24"/>
          <w:szCs w:val="24"/>
        </w:rPr>
        <w:t>deep</w:t>
      </w:r>
      <w:proofErr w:type="spellEnd"/>
      <w:r w:rsidRPr="008751F0">
        <w:rPr>
          <w:rFonts w:ascii="Lato" w:hAnsi="Lato"/>
          <w:sz w:val="24"/>
          <w:szCs w:val="24"/>
        </w:rPr>
        <w:t xml:space="preserve"> </w:t>
      </w:r>
      <w:proofErr w:type="spellStart"/>
      <w:r w:rsidRPr="008751F0">
        <w:rPr>
          <w:rFonts w:ascii="Lato" w:hAnsi="Lato"/>
          <w:sz w:val="24"/>
          <w:szCs w:val="24"/>
        </w:rPr>
        <w:t>techowe</w:t>
      </w:r>
      <w:proofErr w:type="spellEnd"/>
      <w:r w:rsidRPr="008751F0">
        <w:rPr>
          <w:rFonts w:ascii="Lato" w:hAnsi="Lato"/>
          <w:sz w:val="24"/>
          <w:szCs w:val="24"/>
        </w:rPr>
        <w:t xml:space="preserve"> start-</w:t>
      </w:r>
      <w:proofErr w:type="spellStart"/>
      <w:r w:rsidRPr="008751F0">
        <w:rPr>
          <w:rFonts w:ascii="Lato" w:hAnsi="Lato"/>
          <w:sz w:val="24"/>
          <w:szCs w:val="24"/>
        </w:rPr>
        <w:t>upy</w:t>
      </w:r>
      <w:proofErr w:type="spellEnd"/>
      <w:r w:rsidRPr="008751F0">
        <w:rPr>
          <w:rFonts w:ascii="Lato" w:hAnsi="Lato"/>
          <w:sz w:val="24"/>
          <w:szCs w:val="24"/>
        </w:rPr>
        <w:t xml:space="preserve">. Brytyjska agencja rządowa UK </w:t>
      </w:r>
      <w:proofErr w:type="spellStart"/>
      <w:r w:rsidRPr="008751F0">
        <w:rPr>
          <w:rFonts w:ascii="Lato" w:hAnsi="Lato"/>
          <w:sz w:val="24"/>
          <w:szCs w:val="24"/>
        </w:rPr>
        <w:t>Research</w:t>
      </w:r>
      <w:proofErr w:type="spellEnd"/>
      <w:r w:rsidRPr="008751F0">
        <w:rPr>
          <w:rFonts w:ascii="Lato" w:hAnsi="Lato"/>
          <w:sz w:val="24"/>
          <w:szCs w:val="24"/>
        </w:rPr>
        <w:t xml:space="preserve"> and </w:t>
      </w:r>
      <w:proofErr w:type="spellStart"/>
      <w:r w:rsidRPr="008751F0">
        <w:rPr>
          <w:rFonts w:ascii="Lato" w:hAnsi="Lato"/>
          <w:sz w:val="24"/>
          <w:szCs w:val="24"/>
        </w:rPr>
        <w:t>Innovation</w:t>
      </w:r>
      <w:proofErr w:type="spellEnd"/>
      <w:r w:rsidRPr="008751F0">
        <w:rPr>
          <w:rFonts w:ascii="Lato" w:hAnsi="Lato"/>
          <w:sz w:val="24"/>
          <w:szCs w:val="24"/>
        </w:rPr>
        <w:t xml:space="preserve"> dysponuje rocznie budżetem na rozwój </w:t>
      </w:r>
      <w:proofErr w:type="spellStart"/>
      <w:r w:rsidRPr="008751F0">
        <w:rPr>
          <w:rFonts w:ascii="Lato" w:hAnsi="Lato"/>
          <w:sz w:val="24"/>
          <w:szCs w:val="24"/>
        </w:rPr>
        <w:t>deep</w:t>
      </w:r>
      <w:proofErr w:type="spellEnd"/>
      <w:r w:rsidRPr="008751F0">
        <w:rPr>
          <w:rFonts w:ascii="Lato" w:hAnsi="Lato"/>
          <w:sz w:val="24"/>
          <w:szCs w:val="24"/>
        </w:rPr>
        <w:t xml:space="preserve"> </w:t>
      </w:r>
      <w:proofErr w:type="spellStart"/>
      <w:r w:rsidRPr="008751F0">
        <w:rPr>
          <w:rFonts w:ascii="Lato" w:hAnsi="Lato"/>
          <w:sz w:val="24"/>
          <w:szCs w:val="24"/>
        </w:rPr>
        <w:t>tech</w:t>
      </w:r>
      <w:proofErr w:type="spellEnd"/>
      <w:r w:rsidRPr="008751F0">
        <w:rPr>
          <w:rFonts w:ascii="Lato" w:hAnsi="Lato"/>
          <w:sz w:val="24"/>
          <w:szCs w:val="24"/>
        </w:rPr>
        <w:t xml:space="preserve"> w wysokości około 8 miliardów funtów.</w:t>
      </w:r>
    </w:p>
    <w:p w14:paraId="0000000D" w14:textId="77777777" w:rsidR="00440C37" w:rsidRPr="008751F0" w:rsidRDefault="00440C37" w:rsidP="008751F0">
      <w:pPr>
        <w:spacing w:line="360" w:lineRule="auto"/>
        <w:jc w:val="both"/>
        <w:rPr>
          <w:rFonts w:ascii="Lato" w:hAnsi="Lato"/>
          <w:sz w:val="24"/>
          <w:szCs w:val="24"/>
        </w:rPr>
      </w:pPr>
    </w:p>
    <w:p w14:paraId="5214FFE8" w14:textId="1DB319E2" w:rsidR="008751F0" w:rsidRPr="008751F0" w:rsidRDefault="00B34258" w:rsidP="008751F0">
      <w:pPr>
        <w:spacing w:line="360" w:lineRule="auto"/>
        <w:jc w:val="both"/>
        <w:rPr>
          <w:rFonts w:ascii="Lato" w:hAnsi="Lato"/>
          <w:sz w:val="24"/>
          <w:szCs w:val="24"/>
        </w:rPr>
      </w:pPr>
      <w:r w:rsidRPr="008751F0">
        <w:rPr>
          <w:rFonts w:ascii="Lato" w:hAnsi="Lato"/>
          <w:sz w:val="24"/>
          <w:szCs w:val="24"/>
        </w:rPr>
        <w:t>Jak się okazuje, Europa nie planuje spocząć na laurach. Eksperci zgodnie twierdzą, że jeśli chcemy stać się światowym liderem innowacyjności, konieczne jest dalsze zwiększanie nakładów finansowych na tę działalność. Pozwoli to zapewnić suwerenność technologiczną Europy, co jest istotnym wyzwaniem w kontekście sytuacji politycznej i gospodarczej kontynentu.</w:t>
      </w:r>
    </w:p>
    <w:p w14:paraId="0000000F" w14:textId="77777777" w:rsidR="00440C37" w:rsidRPr="008751F0" w:rsidRDefault="00B34258" w:rsidP="008751F0">
      <w:pPr>
        <w:pStyle w:val="Nagwek3"/>
        <w:rPr>
          <w:rFonts w:ascii="Lato" w:hAnsi="Lato"/>
          <w:color w:val="auto"/>
        </w:rPr>
      </w:pPr>
      <w:bookmarkStart w:id="0" w:name="_heading=h.54rpm16x2lqi" w:colFirst="0" w:colLast="0"/>
      <w:bookmarkEnd w:id="0"/>
      <w:r w:rsidRPr="008751F0">
        <w:rPr>
          <w:rFonts w:ascii="Lato" w:hAnsi="Lato"/>
          <w:color w:val="auto"/>
        </w:rPr>
        <w:t xml:space="preserve">Jak Polska wspiera innowacje przełomowe? </w:t>
      </w:r>
    </w:p>
    <w:p w14:paraId="3D7DC9CA" w14:textId="77777777" w:rsidR="008751F0" w:rsidRPr="008751F0" w:rsidRDefault="008751F0" w:rsidP="008751F0"/>
    <w:p w14:paraId="00000010" w14:textId="77777777" w:rsidR="00440C37" w:rsidRPr="008751F0" w:rsidRDefault="00B34258" w:rsidP="008751F0">
      <w:pPr>
        <w:spacing w:line="360" w:lineRule="auto"/>
        <w:jc w:val="both"/>
        <w:rPr>
          <w:rFonts w:ascii="Lato" w:hAnsi="Lato"/>
          <w:sz w:val="24"/>
          <w:szCs w:val="24"/>
        </w:rPr>
      </w:pPr>
      <w:r w:rsidRPr="008751F0">
        <w:rPr>
          <w:rFonts w:ascii="Lato" w:hAnsi="Lato"/>
          <w:sz w:val="24"/>
          <w:szCs w:val="24"/>
        </w:rPr>
        <w:t xml:space="preserve">Jak wygląda możliwość skorzystania z publicznego wsparcia innowacyjnych projektów </w:t>
      </w:r>
      <w:proofErr w:type="spellStart"/>
      <w:r w:rsidRPr="008751F0">
        <w:rPr>
          <w:rFonts w:ascii="Lato" w:hAnsi="Lato"/>
          <w:sz w:val="24"/>
          <w:szCs w:val="24"/>
        </w:rPr>
        <w:t>deep</w:t>
      </w:r>
      <w:proofErr w:type="spellEnd"/>
      <w:r w:rsidRPr="008751F0">
        <w:rPr>
          <w:rFonts w:ascii="Lato" w:hAnsi="Lato"/>
          <w:sz w:val="24"/>
          <w:szCs w:val="24"/>
        </w:rPr>
        <w:t xml:space="preserve"> </w:t>
      </w:r>
      <w:proofErr w:type="spellStart"/>
      <w:r w:rsidRPr="008751F0">
        <w:rPr>
          <w:rFonts w:ascii="Lato" w:hAnsi="Lato"/>
          <w:sz w:val="24"/>
          <w:szCs w:val="24"/>
        </w:rPr>
        <w:t>techowych</w:t>
      </w:r>
      <w:proofErr w:type="spellEnd"/>
      <w:r w:rsidRPr="008751F0">
        <w:rPr>
          <w:rFonts w:ascii="Lato" w:hAnsi="Lato"/>
          <w:sz w:val="24"/>
          <w:szCs w:val="24"/>
        </w:rPr>
        <w:t xml:space="preserve"> w Polsce? Jak się okazuje, możliwości są dość ograniczone.</w:t>
      </w:r>
    </w:p>
    <w:p w14:paraId="00000011" w14:textId="77777777" w:rsidR="00440C37" w:rsidRPr="008751F0" w:rsidRDefault="00440C37" w:rsidP="008751F0">
      <w:pPr>
        <w:spacing w:line="360" w:lineRule="auto"/>
        <w:jc w:val="both"/>
        <w:rPr>
          <w:rFonts w:ascii="Lato" w:hAnsi="Lato"/>
          <w:sz w:val="24"/>
          <w:szCs w:val="24"/>
        </w:rPr>
      </w:pPr>
    </w:p>
    <w:p w14:paraId="00000012" w14:textId="5C16972E" w:rsidR="00440C37" w:rsidRPr="008751F0" w:rsidRDefault="00B34258" w:rsidP="008751F0">
      <w:pPr>
        <w:spacing w:line="360" w:lineRule="auto"/>
        <w:jc w:val="both"/>
        <w:rPr>
          <w:rFonts w:ascii="Lato" w:hAnsi="Lato"/>
          <w:sz w:val="24"/>
          <w:szCs w:val="24"/>
        </w:rPr>
      </w:pPr>
      <w:r w:rsidRPr="008751F0">
        <w:rPr>
          <w:rFonts w:ascii="Lato" w:hAnsi="Lato"/>
          <w:sz w:val="24"/>
          <w:szCs w:val="24"/>
        </w:rPr>
        <w:lastRenderedPageBreak/>
        <w:t xml:space="preserve">– </w:t>
      </w:r>
      <w:r w:rsidRPr="008751F0">
        <w:rPr>
          <w:rFonts w:ascii="Lato" w:hAnsi="Lato"/>
          <w:i/>
          <w:sz w:val="24"/>
          <w:szCs w:val="24"/>
        </w:rPr>
        <w:t xml:space="preserve">Obecnie w Polsce niestety nie ma dedykowanych programów wsparcia dotacyjnego dla </w:t>
      </w:r>
      <w:proofErr w:type="spellStart"/>
      <w:r w:rsidRPr="008751F0">
        <w:rPr>
          <w:rFonts w:ascii="Lato" w:hAnsi="Lato"/>
          <w:i/>
          <w:sz w:val="24"/>
          <w:szCs w:val="24"/>
        </w:rPr>
        <w:t>deep-techów</w:t>
      </w:r>
      <w:proofErr w:type="spellEnd"/>
      <w:r w:rsidRPr="008751F0">
        <w:rPr>
          <w:rFonts w:ascii="Lato" w:hAnsi="Lato"/>
          <w:i/>
          <w:sz w:val="24"/>
          <w:szCs w:val="24"/>
        </w:rPr>
        <w:t>. Największy pod kątem budżetu instrument dotacyjny Ścieżka SMART w ramach FENG miał być skierowany głównie do takich projektów. Kryteria wyboru, jak i cała dokumentacja aplikacyjna zatwierdzona przez KE sugerują</w:t>
      </w:r>
      <w:r w:rsidR="008751F0" w:rsidRPr="008751F0">
        <w:rPr>
          <w:rFonts w:ascii="Lato" w:hAnsi="Lato"/>
          <w:i/>
          <w:sz w:val="24"/>
          <w:szCs w:val="24"/>
        </w:rPr>
        <w:t>,</w:t>
      </w:r>
      <w:r w:rsidRPr="008751F0">
        <w:rPr>
          <w:rFonts w:ascii="Lato" w:hAnsi="Lato"/>
          <w:i/>
          <w:sz w:val="24"/>
          <w:szCs w:val="24"/>
        </w:rPr>
        <w:t xml:space="preserve"> że właśnie projekty </w:t>
      </w:r>
      <w:proofErr w:type="spellStart"/>
      <w:r w:rsidRPr="008751F0">
        <w:rPr>
          <w:rFonts w:ascii="Lato" w:hAnsi="Lato"/>
          <w:i/>
          <w:sz w:val="24"/>
          <w:szCs w:val="24"/>
        </w:rPr>
        <w:t>deep-tech</w:t>
      </w:r>
      <w:proofErr w:type="spellEnd"/>
      <w:r w:rsidRPr="008751F0">
        <w:rPr>
          <w:rFonts w:ascii="Lato" w:hAnsi="Lato"/>
          <w:i/>
          <w:sz w:val="24"/>
          <w:szCs w:val="24"/>
        </w:rPr>
        <w:t xml:space="preserve"> będą pożądane, bowiem nadrzędnym celem FENG jest </w:t>
      </w:r>
      <w:r w:rsidRPr="008751F0">
        <w:rPr>
          <w:rFonts w:ascii="Lato" w:hAnsi="Lato"/>
          <w:i/>
          <w:sz w:val="24"/>
          <w:szCs w:val="24"/>
          <w:highlight w:val="white"/>
        </w:rPr>
        <w:t>zwiększenie potencjału w zakresie badań i innowacji oraz wykorzystywania zaawansowanych technologii</w:t>
      </w:r>
      <w:r w:rsidRPr="008751F0">
        <w:rPr>
          <w:rFonts w:ascii="Lato" w:hAnsi="Lato"/>
          <w:i/>
          <w:sz w:val="24"/>
          <w:szCs w:val="24"/>
        </w:rPr>
        <w:t xml:space="preserve">. Rzeczywistość okazuje się jednak inna, projekty </w:t>
      </w:r>
      <w:proofErr w:type="spellStart"/>
      <w:r w:rsidRPr="008751F0">
        <w:rPr>
          <w:rFonts w:ascii="Lato" w:hAnsi="Lato"/>
          <w:i/>
          <w:sz w:val="24"/>
          <w:szCs w:val="24"/>
        </w:rPr>
        <w:t>deep</w:t>
      </w:r>
      <w:proofErr w:type="spellEnd"/>
      <w:r w:rsidRPr="008751F0">
        <w:rPr>
          <w:rFonts w:ascii="Lato" w:hAnsi="Lato"/>
          <w:i/>
          <w:sz w:val="24"/>
          <w:szCs w:val="24"/>
        </w:rPr>
        <w:t xml:space="preserve"> </w:t>
      </w:r>
      <w:proofErr w:type="spellStart"/>
      <w:r w:rsidRPr="008751F0">
        <w:rPr>
          <w:rFonts w:ascii="Lato" w:hAnsi="Lato"/>
          <w:i/>
          <w:sz w:val="24"/>
          <w:szCs w:val="24"/>
        </w:rPr>
        <w:t>techowe</w:t>
      </w:r>
      <w:proofErr w:type="spellEnd"/>
      <w:r w:rsidRPr="008751F0">
        <w:rPr>
          <w:rFonts w:ascii="Lato" w:hAnsi="Lato"/>
          <w:i/>
          <w:sz w:val="24"/>
          <w:szCs w:val="24"/>
        </w:rPr>
        <w:t xml:space="preserve"> w ocenie Instytucji Wdrażających są zbyt ryzykowne i nie znajdują zrozumienia wśród oceniających. Taki wniosek wynika ze spotkań z Komisją Oceny Projektów i list rankingowych pierwszego rozstrzygniętego konkursu </w:t>
      </w:r>
      <w:r w:rsidRPr="008751F0">
        <w:rPr>
          <w:rFonts w:ascii="Lato" w:hAnsi="Lato"/>
          <w:sz w:val="24"/>
          <w:szCs w:val="24"/>
        </w:rPr>
        <w:t xml:space="preserve">–  tłumaczy Szymon </w:t>
      </w:r>
      <w:proofErr w:type="spellStart"/>
      <w:r w:rsidRPr="008751F0">
        <w:rPr>
          <w:rFonts w:ascii="Lato" w:hAnsi="Lato"/>
          <w:sz w:val="24"/>
          <w:szCs w:val="24"/>
        </w:rPr>
        <w:t>Łokaj</w:t>
      </w:r>
      <w:proofErr w:type="spellEnd"/>
      <w:r w:rsidRPr="008751F0">
        <w:rPr>
          <w:rFonts w:ascii="Lato" w:hAnsi="Lato"/>
          <w:sz w:val="24"/>
          <w:szCs w:val="24"/>
        </w:rPr>
        <w:t xml:space="preserve">, ekspert w Innology. </w:t>
      </w:r>
    </w:p>
    <w:p w14:paraId="00000013" w14:textId="77777777" w:rsidR="00440C37" w:rsidRPr="008751F0" w:rsidRDefault="00440C37" w:rsidP="008751F0">
      <w:pPr>
        <w:spacing w:line="360" w:lineRule="auto"/>
        <w:jc w:val="both"/>
        <w:rPr>
          <w:rFonts w:ascii="Lato" w:hAnsi="Lato"/>
          <w:sz w:val="24"/>
          <w:szCs w:val="24"/>
        </w:rPr>
      </w:pPr>
    </w:p>
    <w:p w14:paraId="00000014" w14:textId="77777777" w:rsidR="00440C37" w:rsidRPr="008751F0" w:rsidRDefault="00B34258" w:rsidP="008751F0">
      <w:pPr>
        <w:spacing w:line="360" w:lineRule="auto"/>
        <w:jc w:val="both"/>
        <w:rPr>
          <w:rFonts w:ascii="Lato" w:hAnsi="Lato"/>
          <w:sz w:val="24"/>
          <w:szCs w:val="24"/>
        </w:rPr>
      </w:pPr>
      <w:r w:rsidRPr="008751F0">
        <w:rPr>
          <w:rFonts w:ascii="Lato" w:hAnsi="Lato"/>
          <w:sz w:val="24"/>
          <w:szCs w:val="24"/>
        </w:rPr>
        <w:t xml:space="preserve">Ofertę instrumentów dotacyjnych, w których potencjalnie kwalifikują się projekty </w:t>
      </w:r>
      <w:proofErr w:type="spellStart"/>
      <w:r w:rsidRPr="008751F0">
        <w:rPr>
          <w:rFonts w:ascii="Lato" w:hAnsi="Lato"/>
          <w:sz w:val="24"/>
          <w:szCs w:val="24"/>
        </w:rPr>
        <w:t>deep-tech</w:t>
      </w:r>
      <w:proofErr w:type="spellEnd"/>
      <w:r w:rsidRPr="008751F0">
        <w:rPr>
          <w:rFonts w:ascii="Lato" w:hAnsi="Lato"/>
          <w:sz w:val="24"/>
          <w:szCs w:val="24"/>
        </w:rPr>
        <w:t xml:space="preserve"> ma Agencja Badań Medycznych. W 2024 r. planowany jest konkurs z budżetem 300 mln PLN przeznaczonym na projekty komercyjne w obszarze rozwoju innowacyjnych produktów leczniczych oraz odpowiedników oryginalnych produktów leczniczych, w tym nowych postaci farmaceutycznych i nowych zastosowań znanych substancji czynnych oraz kombinacji substancji czynnych ze szczególnym uwzględnieniem produktów leczniczych o działaniu przeciwdrobnoustrojowym.</w:t>
      </w:r>
    </w:p>
    <w:p w14:paraId="00000015" w14:textId="77777777" w:rsidR="00440C37" w:rsidRPr="008751F0" w:rsidRDefault="00440C37" w:rsidP="008751F0">
      <w:pPr>
        <w:spacing w:line="360" w:lineRule="auto"/>
        <w:jc w:val="both"/>
        <w:rPr>
          <w:rFonts w:ascii="Lato" w:hAnsi="Lato"/>
          <w:sz w:val="24"/>
          <w:szCs w:val="24"/>
        </w:rPr>
      </w:pPr>
    </w:p>
    <w:p w14:paraId="00000017" w14:textId="67680713" w:rsidR="00440C37" w:rsidRPr="008751F0" w:rsidRDefault="00B34258" w:rsidP="008751F0">
      <w:pPr>
        <w:spacing w:line="360" w:lineRule="auto"/>
        <w:jc w:val="both"/>
        <w:rPr>
          <w:rFonts w:ascii="Lato" w:hAnsi="Lato"/>
          <w:sz w:val="24"/>
          <w:szCs w:val="24"/>
        </w:rPr>
      </w:pPr>
      <w:r w:rsidRPr="008751F0">
        <w:rPr>
          <w:rFonts w:ascii="Lato" w:hAnsi="Lato"/>
          <w:sz w:val="24"/>
          <w:szCs w:val="24"/>
        </w:rPr>
        <w:t xml:space="preserve">Poza dotacjami, ważnym instrumentem wsparcia innowacji są fundusze VC. W Polsce działa kilka funduszy, które dysponują środkami publicznymi przeznaczonymi m.in. na inwestycje w spółki </w:t>
      </w:r>
      <w:proofErr w:type="spellStart"/>
      <w:r w:rsidRPr="008751F0">
        <w:rPr>
          <w:rFonts w:ascii="Lato" w:hAnsi="Lato"/>
          <w:sz w:val="24"/>
          <w:szCs w:val="24"/>
        </w:rPr>
        <w:t>deep-tech</w:t>
      </w:r>
      <w:proofErr w:type="spellEnd"/>
      <w:r w:rsidRPr="008751F0">
        <w:rPr>
          <w:rFonts w:ascii="Lato" w:hAnsi="Lato"/>
          <w:sz w:val="24"/>
          <w:szCs w:val="24"/>
        </w:rPr>
        <w:t xml:space="preserve"> np. VINCI SA, NIF ASI SA. O jakich kwotach finansowania mowa? NIF zamierza </w:t>
      </w:r>
      <w:r w:rsidR="008751F0" w:rsidRPr="008751F0">
        <w:rPr>
          <w:rFonts w:ascii="Lato" w:hAnsi="Lato"/>
          <w:sz w:val="24"/>
          <w:szCs w:val="24"/>
        </w:rPr>
        <w:t>przeznaczyć</w:t>
      </w:r>
      <w:r w:rsidRPr="008751F0">
        <w:rPr>
          <w:rFonts w:ascii="Lato" w:hAnsi="Lato"/>
          <w:sz w:val="24"/>
          <w:szCs w:val="24"/>
        </w:rPr>
        <w:t xml:space="preserve">́ w latach 2020-2026 </w:t>
      </w:r>
      <w:r w:rsidR="008751F0" w:rsidRPr="008751F0">
        <w:rPr>
          <w:rFonts w:ascii="Lato" w:hAnsi="Lato"/>
          <w:sz w:val="24"/>
          <w:szCs w:val="24"/>
        </w:rPr>
        <w:t>łącznie</w:t>
      </w:r>
      <w:r w:rsidRPr="008751F0">
        <w:rPr>
          <w:rFonts w:ascii="Lato" w:hAnsi="Lato"/>
          <w:sz w:val="24"/>
          <w:szCs w:val="24"/>
        </w:rPr>
        <w:t xml:space="preserve"> 700 mln złotych na ko-inwestycje z Funduszami Partnerskimi, co daje około 100 mln PLN rocznie, z czego tylko część tych środków trafi do spółek </w:t>
      </w:r>
      <w:proofErr w:type="spellStart"/>
      <w:r w:rsidRPr="008751F0">
        <w:rPr>
          <w:rFonts w:ascii="Lato" w:hAnsi="Lato"/>
          <w:sz w:val="24"/>
          <w:szCs w:val="24"/>
        </w:rPr>
        <w:t>deep-tech</w:t>
      </w:r>
      <w:proofErr w:type="spellEnd"/>
      <w:r w:rsidRPr="008751F0">
        <w:rPr>
          <w:rFonts w:ascii="Lato" w:hAnsi="Lato"/>
          <w:sz w:val="24"/>
          <w:szCs w:val="24"/>
        </w:rPr>
        <w:t xml:space="preserve">. VINCI SA, z kolei dysponuje środkami publicznymi rzędu 450 mln zł w ramach </w:t>
      </w:r>
      <w:r w:rsidRPr="008751F0">
        <w:rPr>
          <w:rFonts w:ascii="Lato" w:hAnsi="Lato"/>
          <w:sz w:val="24"/>
          <w:szCs w:val="24"/>
          <w:highlight w:val="white"/>
        </w:rPr>
        <w:t>Funduszu IQ inwestującego w projekty naukowo badawcze.</w:t>
      </w:r>
    </w:p>
    <w:p w14:paraId="2712B35E" w14:textId="77777777" w:rsidR="008751F0" w:rsidRPr="008751F0" w:rsidRDefault="008751F0" w:rsidP="008751F0">
      <w:pPr>
        <w:spacing w:line="360" w:lineRule="auto"/>
        <w:jc w:val="both"/>
        <w:rPr>
          <w:rFonts w:ascii="Lato" w:hAnsi="Lato"/>
          <w:sz w:val="24"/>
          <w:szCs w:val="24"/>
        </w:rPr>
      </w:pPr>
    </w:p>
    <w:p w14:paraId="00000019" w14:textId="082C481A" w:rsidR="00440C37" w:rsidRPr="008751F0" w:rsidRDefault="00B34258" w:rsidP="008751F0">
      <w:pPr>
        <w:pBdr>
          <w:top w:val="none" w:sz="0" w:space="0" w:color="E3E3E3"/>
          <w:left w:val="none" w:sz="0" w:space="0" w:color="E3E3E3"/>
          <w:bottom w:val="none" w:sz="0" w:space="0" w:color="E3E3E3"/>
          <w:right w:val="none" w:sz="0" w:space="0" w:color="E3E3E3"/>
          <w:between w:val="none" w:sz="0" w:space="0" w:color="E3E3E3"/>
        </w:pBdr>
        <w:spacing w:line="360" w:lineRule="auto"/>
        <w:jc w:val="both"/>
        <w:rPr>
          <w:rFonts w:ascii="Lato" w:hAnsi="Lato"/>
          <w:sz w:val="24"/>
          <w:szCs w:val="24"/>
        </w:rPr>
      </w:pPr>
      <w:r w:rsidRPr="008751F0">
        <w:rPr>
          <w:rFonts w:ascii="Lato" w:hAnsi="Lato"/>
          <w:sz w:val="24"/>
          <w:szCs w:val="24"/>
        </w:rPr>
        <w:t xml:space="preserve">Podsumowując, publiczne fundusze przeznaczone na wsparcie projektów </w:t>
      </w:r>
      <w:proofErr w:type="spellStart"/>
      <w:r w:rsidRPr="008751F0">
        <w:rPr>
          <w:rFonts w:ascii="Lato" w:hAnsi="Lato"/>
          <w:sz w:val="24"/>
          <w:szCs w:val="24"/>
        </w:rPr>
        <w:t>deep-tech</w:t>
      </w:r>
      <w:proofErr w:type="spellEnd"/>
      <w:r w:rsidRPr="008751F0">
        <w:rPr>
          <w:rFonts w:ascii="Lato" w:hAnsi="Lato"/>
          <w:sz w:val="24"/>
          <w:szCs w:val="24"/>
        </w:rPr>
        <w:t xml:space="preserve"> odgrywają kluczową rolę w przyspieszaniu postępu technologicznego, stymulowaniu </w:t>
      </w:r>
      <w:r w:rsidRPr="008751F0">
        <w:rPr>
          <w:rFonts w:ascii="Lato" w:hAnsi="Lato"/>
          <w:sz w:val="24"/>
          <w:szCs w:val="24"/>
        </w:rPr>
        <w:lastRenderedPageBreak/>
        <w:t>innowacji oraz rozwiązywaniu globalnych problemów. Ich właściwe wykorzystanie może mieć długoterminowe pozytywne konsekwencje dla społeczeństwa i gospodarki.</w:t>
      </w:r>
      <w:r w:rsidR="008751F0">
        <w:rPr>
          <w:rFonts w:ascii="Lato" w:hAnsi="Lato"/>
          <w:sz w:val="24"/>
          <w:szCs w:val="24"/>
        </w:rPr>
        <w:t xml:space="preserve"> </w:t>
      </w:r>
      <w:r w:rsidRPr="008751F0">
        <w:rPr>
          <w:rFonts w:ascii="Lato" w:hAnsi="Lato"/>
          <w:sz w:val="24"/>
          <w:szCs w:val="24"/>
        </w:rPr>
        <w:t xml:space="preserve">Niestety Polska nie ma strategii wspierającej rozwój przełomowych innowacji, a dotychczasowa wysokość finansowania projektów </w:t>
      </w:r>
      <w:proofErr w:type="spellStart"/>
      <w:r w:rsidRPr="008751F0">
        <w:rPr>
          <w:rFonts w:ascii="Lato" w:hAnsi="Lato"/>
          <w:sz w:val="24"/>
          <w:szCs w:val="24"/>
        </w:rPr>
        <w:t>deep</w:t>
      </w:r>
      <w:proofErr w:type="spellEnd"/>
      <w:r w:rsidRPr="008751F0">
        <w:rPr>
          <w:rFonts w:ascii="Lato" w:hAnsi="Lato"/>
          <w:sz w:val="24"/>
          <w:szCs w:val="24"/>
        </w:rPr>
        <w:t xml:space="preserve"> </w:t>
      </w:r>
      <w:proofErr w:type="spellStart"/>
      <w:r w:rsidRPr="008751F0">
        <w:rPr>
          <w:rFonts w:ascii="Lato" w:hAnsi="Lato"/>
          <w:sz w:val="24"/>
          <w:szCs w:val="24"/>
        </w:rPr>
        <w:t>techowych</w:t>
      </w:r>
      <w:proofErr w:type="spellEnd"/>
      <w:r w:rsidRPr="008751F0">
        <w:rPr>
          <w:rFonts w:ascii="Lato" w:hAnsi="Lato"/>
          <w:sz w:val="24"/>
          <w:szCs w:val="24"/>
        </w:rPr>
        <w:t xml:space="preserve"> ze środków publicznych jest zdecydowanie niewystarczająca. Brak strategii wsparcia dla innowacji przełomowych może mieć dalekosiężne negatywne konsekwencje dla rozwoju technologicznego, gospodarki i społeczeństwa jako całości. </w:t>
      </w:r>
    </w:p>
    <w:p w14:paraId="0000001A" w14:textId="77777777" w:rsidR="00440C37" w:rsidRPr="008751F0" w:rsidRDefault="00440C37" w:rsidP="008751F0">
      <w:pPr>
        <w:spacing w:line="360" w:lineRule="auto"/>
        <w:jc w:val="both"/>
        <w:rPr>
          <w:rFonts w:ascii="Lato" w:hAnsi="Lato"/>
          <w:sz w:val="24"/>
          <w:szCs w:val="24"/>
        </w:rPr>
      </w:pPr>
    </w:p>
    <w:sectPr w:rsidR="00440C37" w:rsidRPr="008751F0" w:rsidSect="00CB07D4">
      <w:headerReference w:type="default" r:id="rId7"/>
      <w:pgSz w:w="11906" w:h="16838"/>
      <w:pgMar w:top="1134" w:right="1134" w:bottom="1134" w:left="1134"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0E05F" w14:textId="77777777" w:rsidR="00CB07D4" w:rsidRDefault="00CB07D4" w:rsidP="00E961D1">
      <w:pPr>
        <w:spacing w:line="240" w:lineRule="auto"/>
      </w:pPr>
      <w:r>
        <w:separator/>
      </w:r>
    </w:p>
  </w:endnote>
  <w:endnote w:type="continuationSeparator" w:id="0">
    <w:p w14:paraId="22980617" w14:textId="77777777" w:rsidR="00CB07D4" w:rsidRDefault="00CB07D4" w:rsidP="00E96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791A" w14:textId="77777777" w:rsidR="00CB07D4" w:rsidRDefault="00CB07D4" w:rsidP="00E961D1">
      <w:pPr>
        <w:spacing w:line="240" w:lineRule="auto"/>
      </w:pPr>
      <w:r>
        <w:separator/>
      </w:r>
    </w:p>
  </w:footnote>
  <w:footnote w:type="continuationSeparator" w:id="0">
    <w:p w14:paraId="3ED134DD" w14:textId="77777777" w:rsidR="00CB07D4" w:rsidRDefault="00CB07D4" w:rsidP="00E961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AEB7" w14:textId="77777777" w:rsidR="00E961D1" w:rsidRDefault="00E961D1" w:rsidP="00E961D1">
    <w:pPr>
      <w:pStyle w:val="Nagwek"/>
      <w:rPr>
        <w:rFonts w:ascii="Lato" w:hAnsi="Lato"/>
      </w:rPr>
    </w:pPr>
    <w:r w:rsidRPr="0073198D">
      <w:rPr>
        <w:rFonts w:ascii="Lato" w:hAnsi="Lato"/>
        <w:noProof/>
      </w:rPr>
      <w:drawing>
        <wp:anchor distT="0" distB="0" distL="114300" distR="114300" simplePos="0" relativeHeight="251659264" behindDoc="1" locked="0" layoutInCell="1" allowOverlap="1" wp14:anchorId="211B4A19" wp14:editId="2EF66771">
          <wp:simplePos x="0" y="0"/>
          <wp:positionH relativeFrom="column">
            <wp:posOffset>3771900</wp:posOffset>
          </wp:positionH>
          <wp:positionV relativeFrom="paragraph">
            <wp:posOffset>76200</wp:posOffset>
          </wp:positionV>
          <wp:extent cx="2016760" cy="678180"/>
          <wp:effectExtent l="0" t="0" r="2540" b="7620"/>
          <wp:wrapTight wrapText="bothSides">
            <wp:wrapPolygon edited="0">
              <wp:start x="0" y="0"/>
              <wp:lineTo x="0" y="21236"/>
              <wp:lineTo x="21423" y="21236"/>
              <wp:lineTo x="21423" y="0"/>
              <wp:lineTo x="0" y="0"/>
            </wp:wrapPolygon>
          </wp:wrapTight>
          <wp:docPr id="1978054637" name="Obraz 1978054637" descr="Obraz zawierający Czcionka, logo, Grafika,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940474" name="Obraz 1" descr="Obraz zawierający Czcionka, logo, Grafika,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2016760" cy="678180"/>
                  </a:xfrm>
                  <a:prstGeom prst="rect">
                    <a:avLst/>
                  </a:prstGeom>
                </pic:spPr>
              </pic:pic>
            </a:graphicData>
          </a:graphic>
          <wp14:sizeRelH relativeFrom="margin">
            <wp14:pctWidth>0</wp14:pctWidth>
          </wp14:sizeRelH>
          <wp14:sizeRelV relativeFrom="margin">
            <wp14:pctHeight>0</wp14:pctHeight>
          </wp14:sizeRelV>
        </wp:anchor>
      </w:drawing>
    </w:r>
  </w:p>
  <w:p w14:paraId="70356D1B" w14:textId="77777777" w:rsidR="00E961D1" w:rsidRDefault="00E961D1" w:rsidP="00E961D1">
    <w:pPr>
      <w:pStyle w:val="Nagwek"/>
      <w:rPr>
        <w:rFonts w:ascii="Lato" w:hAnsi="Lato"/>
      </w:rPr>
    </w:pPr>
  </w:p>
  <w:p w14:paraId="4CA7A1B7" w14:textId="77777777" w:rsidR="00E961D1" w:rsidRDefault="00E961D1" w:rsidP="00E961D1">
    <w:pPr>
      <w:pStyle w:val="Nagwek"/>
      <w:rPr>
        <w:rFonts w:ascii="Lato" w:hAnsi="Lato"/>
      </w:rPr>
    </w:pPr>
    <w:r w:rsidRPr="0073198D">
      <w:rPr>
        <w:rFonts w:ascii="Lato" w:hAnsi="Lato"/>
      </w:rPr>
      <w:t>INFORMACJA</w:t>
    </w:r>
    <w:r>
      <w:rPr>
        <w:rFonts w:ascii="Lato" w:hAnsi="Lato"/>
      </w:rPr>
      <w:t xml:space="preserve"> PRASOWA</w:t>
    </w:r>
  </w:p>
  <w:p w14:paraId="55F3BB87" w14:textId="77777777" w:rsidR="00E961D1" w:rsidRDefault="00E961D1" w:rsidP="00E961D1">
    <w:pPr>
      <w:pStyle w:val="Nagwek"/>
      <w:rPr>
        <w:rFonts w:ascii="Lato" w:hAnsi="Lato"/>
      </w:rPr>
    </w:pPr>
  </w:p>
  <w:p w14:paraId="026DFFEA" w14:textId="77777777" w:rsidR="00E961D1" w:rsidRDefault="00E961D1" w:rsidP="00E961D1">
    <w:pPr>
      <w:pStyle w:val="Nagwek"/>
    </w:pPr>
  </w:p>
  <w:p w14:paraId="50FF6DA1" w14:textId="77777777" w:rsidR="00E961D1" w:rsidRDefault="00E961D1" w:rsidP="00E961D1">
    <w:pPr>
      <w:pStyle w:val="Nagwek"/>
    </w:pPr>
  </w:p>
  <w:p w14:paraId="721D871D" w14:textId="77777777" w:rsidR="00E961D1" w:rsidRDefault="00E961D1" w:rsidP="00E961D1">
    <w:pPr>
      <w:pStyle w:val="Nagwek"/>
    </w:pPr>
  </w:p>
  <w:p w14:paraId="71D55B45" w14:textId="77777777" w:rsidR="00E961D1" w:rsidRDefault="00E961D1" w:rsidP="00E961D1"/>
  <w:p w14:paraId="0865E245" w14:textId="77777777" w:rsidR="00E961D1" w:rsidRDefault="00E961D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37"/>
    <w:rsid w:val="00440C37"/>
    <w:rsid w:val="004E1BCD"/>
    <w:rsid w:val="005066F0"/>
    <w:rsid w:val="008751F0"/>
    <w:rsid w:val="00B34258"/>
    <w:rsid w:val="00CB07D4"/>
    <w:rsid w:val="00E96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71A1"/>
  <w15:docId w15:val="{AECFECBB-F009-492A-A4BD-88416A10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Bezodstpw">
    <w:name w:val="No Spacing"/>
    <w:uiPriority w:val="1"/>
    <w:qFormat/>
    <w:rsid w:val="008751F0"/>
    <w:pPr>
      <w:spacing w:line="240" w:lineRule="auto"/>
    </w:pPr>
  </w:style>
  <w:style w:type="paragraph" w:styleId="Nagwek">
    <w:name w:val="header"/>
    <w:basedOn w:val="Normalny"/>
    <w:link w:val="NagwekZnak"/>
    <w:uiPriority w:val="99"/>
    <w:unhideWhenUsed/>
    <w:rsid w:val="00E961D1"/>
    <w:pPr>
      <w:tabs>
        <w:tab w:val="center" w:pos="4536"/>
        <w:tab w:val="right" w:pos="9072"/>
      </w:tabs>
      <w:spacing w:line="240" w:lineRule="auto"/>
    </w:pPr>
  </w:style>
  <w:style w:type="character" w:customStyle="1" w:styleId="NagwekZnak">
    <w:name w:val="Nagłówek Znak"/>
    <w:basedOn w:val="Domylnaczcionkaakapitu"/>
    <w:link w:val="Nagwek"/>
    <w:uiPriority w:val="99"/>
    <w:rsid w:val="00E961D1"/>
  </w:style>
  <w:style w:type="paragraph" w:styleId="Stopka">
    <w:name w:val="footer"/>
    <w:basedOn w:val="Normalny"/>
    <w:link w:val="StopkaZnak"/>
    <w:uiPriority w:val="99"/>
    <w:unhideWhenUsed/>
    <w:rsid w:val="00E961D1"/>
    <w:pPr>
      <w:tabs>
        <w:tab w:val="center" w:pos="4536"/>
        <w:tab w:val="right" w:pos="9072"/>
      </w:tabs>
      <w:spacing w:line="240" w:lineRule="auto"/>
    </w:pPr>
  </w:style>
  <w:style w:type="character" w:customStyle="1" w:styleId="StopkaZnak">
    <w:name w:val="Stopka Znak"/>
    <w:basedOn w:val="Domylnaczcionkaakapitu"/>
    <w:link w:val="Stopka"/>
    <w:uiPriority w:val="99"/>
    <w:rsid w:val="00E96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hGI0GH11FLbzGu9yZkVI9CfZ6g==">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947</Words>
  <Characters>5685</Characters>
  <Application>Microsoft Office Word</Application>
  <DocSecurity>0</DocSecurity>
  <Lines>47</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Knapik-Klata</cp:lastModifiedBy>
  <cp:revision>5</cp:revision>
  <dcterms:created xsi:type="dcterms:W3CDTF">2024-04-04T20:41:00Z</dcterms:created>
  <dcterms:modified xsi:type="dcterms:W3CDTF">2024-04-04T21:08:00Z</dcterms:modified>
</cp:coreProperties>
</file>