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2AF4C8D2" w:rsidR="004B175A" w:rsidRDefault="00000000" w:rsidP="00D01314">
      <w:pPr>
        <w:pStyle w:val="Nagwek2"/>
      </w:pPr>
      <w:bookmarkStart w:id="0" w:name="_Hlk169775744"/>
      <w:r w:rsidRPr="00B95035">
        <w:t>Jaki jest stopień wykorzystania funduszy unijnych w ramach FENG na półmetku perspektywy unijnej na lata 2021-2027?</w:t>
      </w:r>
    </w:p>
    <w:bookmarkEnd w:id="0"/>
    <w:p w14:paraId="3E17CA8F" w14:textId="77777777" w:rsidR="00B95035" w:rsidRPr="00B95035" w:rsidRDefault="00B95035" w:rsidP="00B95035"/>
    <w:p w14:paraId="00000002" w14:textId="117157FA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bookmarkStart w:id="1" w:name="_Hlk169775833"/>
      <w:r w:rsidRPr="00B95035">
        <w:rPr>
          <w:rFonts w:ascii="Lato" w:hAnsi="Lato"/>
          <w:b/>
        </w:rPr>
        <w:t>Jak podało Ministerstwo Funduszy i Polityki Regionalnej, w ramach wykorzystania środków unijnych z programów na lata 2021-2027 podpisano do 2 czerwca br. umowy na realizację 3 974 inwestycji o łącznej wartości wydatków kwalifikowalnych 78,7 mld PLN, w tym 62,8 mld PLN dofinansowania UE, co stanowi 19,6% dostępnej alokacji środków UE. Stopień wykorzystania środków w ramach programu Fundusze Europejskie dla Nowoczesnej Gospodarki jest nieco wyższy. Jak dotąd do dofinansowania skierowano projekty o wartości przyznanego wsparcia ok 8,2 mld PLN, z ok 34,2 mld PLN dostępnego budżetu, co stanowi niespełna 24% wykorzystania dostępnej alokacji. Jak aktualnie wygląda stopień wykorzystania środków w ramach najpopularniejszych konkursów FENG? Ile projektów uzyskało dofinansowanie unijne i jaki procent funduszy jest dalej dostępny dla kolejnych podmiotów składających wniosek? Zapoznajmy się z najnowszymi danymi dotyczącymi postępów w realizacji programu.</w:t>
      </w:r>
    </w:p>
    <w:p w14:paraId="00000003" w14:textId="77777777" w:rsidR="004B175A" w:rsidRPr="00B95035" w:rsidRDefault="00000000" w:rsidP="00B95035">
      <w:pPr>
        <w:pStyle w:val="Nagwek3"/>
      </w:pPr>
      <w:bookmarkStart w:id="2" w:name="_heading=h.30j0zll" w:colFirst="0" w:colLast="0"/>
      <w:bookmarkEnd w:id="1"/>
      <w:bookmarkEnd w:id="2"/>
      <w:r w:rsidRPr="00B95035">
        <w:t>Ścieżka Smart z niskim stopniem wykorzystania alokacji</w:t>
      </w:r>
    </w:p>
    <w:p w14:paraId="00000004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 xml:space="preserve">W programie Ścieżka SMART (FENG 1.1) aktualnie do dofinansowania skierowane zostały 234 projekty na łączną wartość dotacji wynoszącą ponad 2,5 mld PLN z blisko 19 mld PLN alokacji do 2027 roku. Oznacza to, że do tej pory wykorzystano zaledwie 10,5% środków przeznaczonych na flagowy instrument dotacyjny wspierający badania, rozwój i innowacje w Polsce. </w:t>
      </w:r>
    </w:p>
    <w:p w14:paraId="00000005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06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>W 2024 roku zostaną jeszcze ocenione wnioski z drugiego konkursu w PARP – jak podano w komunikacie, w ramach tego naboru dla MŚP wpłynęły 2722 wnioski. W ramach drugiego naboru dla dużych przedsiębiorstw prowadzonego przez NCBR wpłynęło 365 wniosków, natomiast w naborze dla konsorcjów wpłynęło 566 wniosków. W dalszym ciągu trwa ocena wniosków w tych konkursach, w których łączny budżet wyniósł prawie 2,9 mld PLN. Zakładając, że całe budżety powyższych konkursów zostałyby wykorzystane, wykorzystanie alokacji w instrumencie ścieżka SMART wyniosłoby ponad 5,4 mld PLN tj. ok 28% dostępnych funduszy. Oznacza to, że w puli funduszy unijnych w ścieżce SMART w dalszym ciągu pozostanie około 13,6 mld PLN do rozdysponowania do 2027 roku.</w:t>
      </w:r>
    </w:p>
    <w:p w14:paraId="00000007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08" w14:textId="7081BA7C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 xml:space="preserve">– </w:t>
      </w:r>
      <w:r w:rsidRPr="00B95035">
        <w:rPr>
          <w:rFonts w:ascii="Lato" w:hAnsi="Lato"/>
          <w:i/>
        </w:rPr>
        <w:t xml:space="preserve">Niski stopień wykorzystania środków w działaniu Ścieżka Smart wcale nie oznacza niewielkiej liczby chętnych na pozyskanie dofinansowania. W pierwszym naborze PARP w 2023 roku na 1496 wniosków jedynie 206 zostało ocenionych pozytywnie, co przekłada się na </w:t>
      </w:r>
      <w:proofErr w:type="spellStart"/>
      <w:r w:rsidRPr="00B95035">
        <w:rPr>
          <w:rFonts w:ascii="Lato" w:hAnsi="Lato"/>
          <w:i/>
        </w:rPr>
        <w:t>success</w:t>
      </w:r>
      <w:proofErr w:type="spellEnd"/>
      <w:r w:rsidRPr="00B95035">
        <w:rPr>
          <w:rFonts w:ascii="Lato" w:hAnsi="Lato"/>
          <w:i/>
        </w:rPr>
        <w:t xml:space="preserve"> </w:t>
      </w:r>
      <w:proofErr w:type="spellStart"/>
      <w:r w:rsidRPr="00B95035">
        <w:rPr>
          <w:rFonts w:ascii="Lato" w:hAnsi="Lato"/>
          <w:i/>
        </w:rPr>
        <w:t>rate</w:t>
      </w:r>
      <w:proofErr w:type="spellEnd"/>
      <w:r w:rsidRPr="00B95035">
        <w:rPr>
          <w:rFonts w:ascii="Lato" w:hAnsi="Lato"/>
          <w:i/>
        </w:rPr>
        <w:t xml:space="preserve"> wynoszący około 14%</w:t>
      </w:r>
      <w:r w:rsidR="00B95035" w:rsidRPr="00B95035">
        <w:rPr>
          <w:rFonts w:ascii="Lato" w:hAnsi="Lato"/>
          <w:i/>
        </w:rPr>
        <w:t>.</w:t>
      </w:r>
      <w:r w:rsidRPr="00B95035">
        <w:rPr>
          <w:rFonts w:ascii="Lato" w:hAnsi="Lato"/>
          <w:i/>
        </w:rPr>
        <w:t xml:space="preserve"> W naborze NCBR wpłynęły 134 wnioski, z czego jedynie 28 zostało wybranych do dofinansowania na łączną kwotę wynoszącą prawie 0,5 mld PLN – tutaj </w:t>
      </w:r>
      <w:proofErr w:type="spellStart"/>
      <w:r w:rsidRPr="00B95035">
        <w:rPr>
          <w:rFonts w:ascii="Lato" w:hAnsi="Lato"/>
          <w:i/>
        </w:rPr>
        <w:t>succes</w:t>
      </w:r>
      <w:proofErr w:type="spellEnd"/>
      <w:r w:rsidRPr="00B95035">
        <w:rPr>
          <w:rFonts w:ascii="Lato" w:hAnsi="Lato"/>
          <w:i/>
        </w:rPr>
        <w:t xml:space="preserve"> </w:t>
      </w:r>
      <w:proofErr w:type="spellStart"/>
      <w:r w:rsidRPr="00B95035">
        <w:rPr>
          <w:rFonts w:ascii="Lato" w:hAnsi="Lato"/>
          <w:i/>
        </w:rPr>
        <w:t>rate</w:t>
      </w:r>
      <w:proofErr w:type="spellEnd"/>
      <w:r w:rsidRPr="00B95035">
        <w:rPr>
          <w:rFonts w:ascii="Lato" w:hAnsi="Lato"/>
          <w:i/>
        </w:rPr>
        <w:t xml:space="preserve"> wynosił 21%. Jeszcze gorsze statystyki wynikają z opublikowanych w kwietniu wyników w konkursie na rzecz dostępności. Akceptację przechodzi niewielka część wniosków, przez co nie są wydatkowane całe budżety konkursów. Co więcej, należy założyć, że nie wszystkie pozytywnie ocenione projekty podpiszą umowę o dofinansowanie – ocena trwa tak długo, że prawdopodobnie część projektów stanie się nieaktualna </w:t>
      </w:r>
      <w:r w:rsidRPr="00B95035">
        <w:rPr>
          <w:rFonts w:ascii="Lato" w:hAnsi="Lato"/>
        </w:rPr>
        <w:t xml:space="preserve">– wyjaśnia Szymon </w:t>
      </w:r>
      <w:proofErr w:type="spellStart"/>
      <w:r w:rsidRPr="00B95035">
        <w:rPr>
          <w:rFonts w:ascii="Lato" w:hAnsi="Lato"/>
        </w:rPr>
        <w:t>Łokaj</w:t>
      </w:r>
      <w:proofErr w:type="spellEnd"/>
      <w:r w:rsidRPr="00B95035">
        <w:rPr>
          <w:rFonts w:ascii="Lato" w:hAnsi="Lato"/>
        </w:rPr>
        <w:t>, ekspert od pozyskiwania krajowych dotacji w Innology, firmie doradczej wspierającej w aplikowaniu o środki unijne na badania, rozwój i innowacje.</w:t>
      </w:r>
    </w:p>
    <w:p w14:paraId="00000009" w14:textId="77777777" w:rsidR="004B175A" w:rsidRPr="00B95035" w:rsidRDefault="00000000" w:rsidP="00B95035">
      <w:pPr>
        <w:pStyle w:val="Nagwek3"/>
      </w:pPr>
      <w:bookmarkStart w:id="3" w:name="_heading=h.mjiqbjaj2gk1" w:colFirst="0" w:colLast="0"/>
      <w:bookmarkEnd w:id="3"/>
      <w:r w:rsidRPr="00B95035">
        <w:t>Kolejne konkursy Ścieżka Smart na nowych zasadach</w:t>
      </w:r>
    </w:p>
    <w:p w14:paraId="0000000A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 xml:space="preserve">24 maja 2024 ogłoszono kolejne nabory do programu Ścieżki SMART. W ramach działania Ścieżka SMART NCBR ogłosił 2 nabory: pierwszy z budżetem 890 mln PLN oraz drugi nabór na rzecz dostępności z budżetem 445 mln PLN. Oba nabory są adresowane do dużych przedsiębiorstw, samodzielnie występujących o wsparcie. Również PARP ogłosił dwa nabory: dla pojedynczych MŚP (z budżetem 2,1 mld PLN) oraz nabór realizowany z myślą o projektach na rzecz dostępności (z budżetem 0,222 mld PLN). Najbliższe konkursy będą odbywać się na nowych zasadach, co ma spowodować przyspieszenie wydatkowania środków. </w:t>
      </w:r>
    </w:p>
    <w:p w14:paraId="0000000B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0C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>Ustalenie nowych zasad konkursów Ścieżka Smart jest wypadkową wielu problemów związanych z trwającą zbyt długo oceną wniosków, a co za tym idzie, obniżeniem jakości tej oceny.</w:t>
      </w:r>
    </w:p>
    <w:p w14:paraId="0000000D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0E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>–</w:t>
      </w:r>
      <w:r w:rsidRPr="00B95035">
        <w:rPr>
          <w:rFonts w:ascii="Lato" w:hAnsi="Lato"/>
          <w:i/>
        </w:rPr>
        <w:t xml:space="preserve"> Przyczyną takiego stanu rzeczy była między innymi zbyt mała ilość ekspertów w stosunku do liczby napływających wniosków, a także, jak wynika z komunikatu PARP, około ⅔ złożonych projektów nie kwalifikowało się do konkursu, a musiały przejść przez całą procedurę oceny wraz z panelem ekspertów </w:t>
      </w:r>
      <w:r w:rsidRPr="00B95035">
        <w:rPr>
          <w:rFonts w:ascii="Lato" w:hAnsi="Lato"/>
        </w:rPr>
        <w:t>– wyjaśnia ekspert z Innology.</w:t>
      </w:r>
    </w:p>
    <w:p w14:paraId="0000000F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10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lastRenderedPageBreak/>
        <w:t xml:space="preserve">Na szczęście nowe konkursy Ścieżki Smart odbędą się na nowych zasadach. Najistotniejszą różnicą w stosunku do poprzednich naborów będzie wprowadzenie dwuetapowej oceny, mającej na celu podstawową selekcję projektów w pierwszym etapie i dopuszczenie do drugiego etapu jedynie projektów, które spełniają kryteria kwalifikacyjne do konkursu. Istotna zmiana dotyczy również podwykonawstwa. W nowym konkursie zniesiono obowiązek wyboru podwykonawcy i podpisanie z nim umowy warunkowej przed złożeniem wniosku o dofinansowanie. Zmiany te mają spowodować przede wszystkim usprawnienie procesu oceny i poprawę jej jakości. To powinno się przełożyć na przyspieszenie wydatkowania środków w kluczowym programie dotacyjnym wspierającym innowacje w Polsce. </w:t>
      </w:r>
    </w:p>
    <w:p w14:paraId="00000011" w14:textId="77777777" w:rsidR="004B175A" w:rsidRPr="00B95035" w:rsidRDefault="004B175A" w:rsidP="00B95035">
      <w:pPr>
        <w:spacing w:line="360" w:lineRule="auto"/>
        <w:jc w:val="both"/>
        <w:rPr>
          <w:rFonts w:ascii="Lato" w:hAnsi="Lato"/>
        </w:rPr>
      </w:pPr>
    </w:p>
    <w:p w14:paraId="00000012" w14:textId="77777777" w:rsidR="004B175A" w:rsidRPr="00B95035" w:rsidRDefault="00000000" w:rsidP="00B95035">
      <w:pPr>
        <w:spacing w:line="360" w:lineRule="auto"/>
        <w:jc w:val="both"/>
        <w:rPr>
          <w:rFonts w:ascii="Lato" w:hAnsi="Lato"/>
        </w:rPr>
      </w:pPr>
      <w:r w:rsidRPr="00B95035">
        <w:rPr>
          <w:rFonts w:ascii="Lato" w:hAnsi="Lato"/>
        </w:rPr>
        <w:t>Do końca trwania programu FENG zostało jeszcze 3,5 roku, a jednocześnie w dalszym ciągu do dyspozycji pozostaje znaczna większość zaplanowanych środków unijnych. Wszystkie podmioty pragnące pozyskać dotację na rozwój innowacyjnego projektu z pewnością powinny skorzystać z tej okazji, skupiając się przede wszystkim na przygotowaniu wniosku, który dzięki swojej zgodności z założeniami programu będzie mieć największe szanse na pozyskanie funduszy.</w:t>
      </w:r>
    </w:p>
    <w:sectPr w:rsidR="004B175A" w:rsidRPr="00B95035">
      <w:head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4C52" w14:textId="77777777" w:rsidR="00B843A1" w:rsidRDefault="00B843A1" w:rsidP="006472EA">
      <w:pPr>
        <w:spacing w:line="240" w:lineRule="auto"/>
      </w:pPr>
      <w:r>
        <w:separator/>
      </w:r>
    </w:p>
  </w:endnote>
  <w:endnote w:type="continuationSeparator" w:id="0">
    <w:p w14:paraId="35B4F7E0" w14:textId="77777777" w:rsidR="00B843A1" w:rsidRDefault="00B843A1" w:rsidP="00647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EA71" w14:textId="77777777" w:rsidR="00B843A1" w:rsidRDefault="00B843A1" w:rsidP="006472EA">
      <w:pPr>
        <w:spacing w:line="240" w:lineRule="auto"/>
      </w:pPr>
      <w:r>
        <w:separator/>
      </w:r>
    </w:p>
  </w:footnote>
  <w:footnote w:type="continuationSeparator" w:id="0">
    <w:p w14:paraId="392BA0C6" w14:textId="77777777" w:rsidR="00B843A1" w:rsidRDefault="00B843A1" w:rsidP="00647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1AF7" w14:textId="77777777" w:rsidR="006472EA" w:rsidRDefault="006472EA" w:rsidP="006472EA">
    <w:pPr>
      <w:pStyle w:val="Nagwek"/>
      <w:rPr>
        <w:rFonts w:ascii="Lato" w:hAnsi="Lato"/>
      </w:rPr>
    </w:pPr>
    <w:r w:rsidRPr="0073198D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40C75AD1" wp14:editId="3AF3DF7D">
          <wp:simplePos x="0" y="0"/>
          <wp:positionH relativeFrom="column">
            <wp:posOffset>3771900</wp:posOffset>
          </wp:positionH>
          <wp:positionV relativeFrom="paragraph">
            <wp:posOffset>76200</wp:posOffset>
          </wp:positionV>
          <wp:extent cx="2016760" cy="678180"/>
          <wp:effectExtent l="0" t="0" r="2540" b="7620"/>
          <wp:wrapTight wrapText="bothSides">
            <wp:wrapPolygon edited="0">
              <wp:start x="0" y="0"/>
              <wp:lineTo x="0" y="21236"/>
              <wp:lineTo x="21423" y="21236"/>
              <wp:lineTo x="21423" y="0"/>
              <wp:lineTo x="0" y="0"/>
            </wp:wrapPolygon>
          </wp:wrapTight>
          <wp:docPr id="1978054637" name="Obraz 1978054637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40474" name="Obraz 1" descr="Obraz zawierający Czcionka, logo, Grafik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C56C3" w14:textId="77777777" w:rsidR="006472EA" w:rsidRDefault="006472EA" w:rsidP="006472EA">
    <w:pPr>
      <w:pStyle w:val="Nagwek"/>
      <w:rPr>
        <w:rFonts w:ascii="Lato" w:hAnsi="Lato"/>
      </w:rPr>
    </w:pPr>
  </w:p>
  <w:p w14:paraId="0BC9594D" w14:textId="77777777" w:rsidR="006472EA" w:rsidRDefault="006472EA" w:rsidP="006472EA">
    <w:pPr>
      <w:pStyle w:val="Nagwek"/>
      <w:rPr>
        <w:rFonts w:ascii="Lato" w:hAnsi="Lato"/>
      </w:rPr>
    </w:pPr>
    <w:r w:rsidRPr="0073198D">
      <w:rPr>
        <w:rFonts w:ascii="Lato" w:hAnsi="Lato"/>
      </w:rPr>
      <w:t>INFORMACJA</w:t>
    </w:r>
    <w:r>
      <w:rPr>
        <w:rFonts w:ascii="Lato" w:hAnsi="Lato"/>
      </w:rPr>
      <w:t xml:space="preserve"> PRASOWA</w:t>
    </w:r>
  </w:p>
  <w:p w14:paraId="46738603" w14:textId="77777777" w:rsidR="006472EA" w:rsidRDefault="006472EA" w:rsidP="006472EA">
    <w:pPr>
      <w:pStyle w:val="Nagwek"/>
      <w:rPr>
        <w:rFonts w:ascii="Lato" w:hAnsi="Lato"/>
      </w:rPr>
    </w:pPr>
  </w:p>
  <w:p w14:paraId="282F7C7C" w14:textId="77777777" w:rsidR="006472EA" w:rsidRDefault="006472EA" w:rsidP="006472EA">
    <w:pPr>
      <w:pStyle w:val="Nagwek"/>
    </w:pPr>
  </w:p>
  <w:p w14:paraId="1749A523" w14:textId="77777777" w:rsidR="006472EA" w:rsidRDefault="006472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5A"/>
    <w:rsid w:val="004B175A"/>
    <w:rsid w:val="006472EA"/>
    <w:rsid w:val="008F14DB"/>
    <w:rsid w:val="00B843A1"/>
    <w:rsid w:val="00B95035"/>
    <w:rsid w:val="00D01314"/>
    <w:rsid w:val="00E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1E8F"/>
  <w15:docId w15:val="{31721072-9F6A-483C-9DA0-FC4C3747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2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EA"/>
  </w:style>
  <w:style w:type="paragraph" w:styleId="Stopka">
    <w:name w:val="footer"/>
    <w:basedOn w:val="Normalny"/>
    <w:link w:val="StopkaZnak"/>
    <w:uiPriority w:val="99"/>
    <w:unhideWhenUsed/>
    <w:rsid w:val="006472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p8YGvJ1RqpzGpX6Hx0IhWPyfQ==">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Knapik-Klata</cp:lastModifiedBy>
  <cp:revision>4</cp:revision>
  <dcterms:created xsi:type="dcterms:W3CDTF">2024-06-20T09:05:00Z</dcterms:created>
  <dcterms:modified xsi:type="dcterms:W3CDTF">2024-06-20T09:39:00Z</dcterms:modified>
</cp:coreProperties>
</file>