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AABB3" w14:textId="77777777" w:rsidR="00E24494" w:rsidRPr="00E24494" w:rsidRDefault="00E24494" w:rsidP="00620744">
      <w:pPr>
        <w:pStyle w:val="Nagwek1"/>
        <w:rPr>
          <w:rFonts w:eastAsia="Times New Roman"/>
          <w:lang w:eastAsia="pl-PL"/>
        </w:rPr>
      </w:pPr>
      <w:r w:rsidRPr="00E24494">
        <w:rPr>
          <w:rFonts w:eastAsia="Times New Roman"/>
          <w:lang w:eastAsia="pl-PL"/>
        </w:rPr>
        <w:t>Jak minimalizować koszty utrzymania oświetlenia w inwestycjach komercyjnych</w:t>
      </w:r>
      <w:r w:rsidR="00620744">
        <w:rPr>
          <w:rFonts w:eastAsia="Times New Roman"/>
          <w:lang w:eastAsia="pl-PL"/>
        </w:rPr>
        <w:t>?</w:t>
      </w:r>
    </w:p>
    <w:p w14:paraId="24E9BFE1" w14:textId="5717E937" w:rsidR="00E24494" w:rsidRPr="00E24494" w:rsidRDefault="00E24494" w:rsidP="00E24494">
      <w:pPr>
        <w:spacing w:before="100" w:beforeAutospacing="1" w:after="100" w:afterAutospacing="1"/>
        <w:rPr>
          <w:rFonts w:eastAsia="Times New Roman" w:cstheme="minorHAnsi"/>
          <w:b/>
          <w:bCs/>
          <w:kern w:val="0"/>
          <w:lang w:eastAsia="pl-PL"/>
          <w14:ligatures w14:val="none"/>
        </w:rPr>
      </w:pPr>
      <w:r w:rsidRPr="00E24494">
        <w:rPr>
          <w:rFonts w:eastAsia="Times New Roman" w:cstheme="minorHAnsi"/>
          <w:b/>
          <w:bCs/>
          <w:kern w:val="0"/>
          <w:lang w:eastAsia="pl-PL"/>
          <w14:ligatures w14:val="none"/>
        </w:rPr>
        <w:t xml:space="preserve">W budynkach komercyjnych koszty energii elektrycznej oraz utrzymania instalacji oświetleniowej stanowią istotną część budżetu operacyjnego. To sprawia, że każdy procent oszczędności w tym obszarze przekłada się na wymierne kwoty w skali roku. </w:t>
      </w:r>
      <w:r w:rsidR="007B2B90" w:rsidRPr="007B2B90">
        <w:rPr>
          <w:rFonts w:eastAsia="Times New Roman" w:cstheme="minorHAnsi"/>
          <w:b/>
          <w:bCs/>
          <w:kern w:val="0"/>
          <w:lang w:eastAsia="pl-PL"/>
          <w14:ligatures w14:val="none"/>
        </w:rPr>
        <w:t>W dobie rosnących cen energii i coraz ostrzejszych wymogów środowiskowych, temat kosztów utrzymania oświetlenia nabiera strategicznego znaczenia w każdej inwestycji komercyjnej.</w:t>
      </w:r>
      <w:r w:rsidR="00CB5CD3">
        <w:rPr>
          <w:rFonts w:eastAsia="Times New Roman" w:cstheme="minorHAnsi"/>
          <w:b/>
          <w:bCs/>
          <w:kern w:val="0"/>
          <w:lang w:eastAsia="pl-PL"/>
          <w14:ligatures w14:val="none"/>
        </w:rPr>
        <w:t xml:space="preserve"> </w:t>
      </w:r>
      <w:r w:rsidRPr="00E24494">
        <w:rPr>
          <w:rFonts w:eastAsia="Times New Roman" w:cstheme="minorHAnsi"/>
          <w:b/>
          <w:bCs/>
          <w:kern w:val="0"/>
          <w:lang w:eastAsia="pl-PL"/>
          <w14:ligatures w14:val="none"/>
        </w:rPr>
        <w:t xml:space="preserve">Nic więc dziwnego, że deweloperzy i zarządcy coraz częściej patrzą na oświetlenie przez pryzmat całkowitego kosztu posiadania (TCO – Total </w:t>
      </w:r>
      <w:proofErr w:type="spellStart"/>
      <w:r w:rsidRPr="00E24494">
        <w:rPr>
          <w:rFonts w:eastAsia="Times New Roman" w:cstheme="minorHAnsi"/>
          <w:b/>
          <w:bCs/>
          <w:kern w:val="0"/>
          <w:lang w:eastAsia="pl-PL"/>
          <w14:ligatures w14:val="none"/>
        </w:rPr>
        <w:t>Cost</w:t>
      </w:r>
      <w:proofErr w:type="spellEnd"/>
      <w:r w:rsidRPr="00E24494">
        <w:rPr>
          <w:rFonts w:eastAsia="Times New Roman" w:cstheme="minorHAnsi"/>
          <w:b/>
          <w:bCs/>
          <w:kern w:val="0"/>
          <w:lang w:eastAsia="pl-PL"/>
          <w14:ligatures w14:val="none"/>
        </w:rPr>
        <w:t xml:space="preserve"> of </w:t>
      </w:r>
      <w:proofErr w:type="spellStart"/>
      <w:r w:rsidRPr="00E24494">
        <w:rPr>
          <w:rFonts w:eastAsia="Times New Roman" w:cstheme="minorHAnsi"/>
          <w:b/>
          <w:bCs/>
          <w:kern w:val="0"/>
          <w:lang w:eastAsia="pl-PL"/>
          <w14:ligatures w14:val="none"/>
        </w:rPr>
        <w:t>Ownership</w:t>
      </w:r>
      <w:proofErr w:type="spellEnd"/>
      <w:r w:rsidRPr="00E24494">
        <w:rPr>
          <w:rFonts w:eastAsia="Times New Roman" w:cstheme="minorHAnsi"/>
          <w:b/>
          <w:bCs/>
          <w:kern w:val="0"/>
          <w:lang w:eastAsia="pl-PL"/>
          <w14:ligatures w14:val="none"/>
        </w:rPr>
        <w:t>).</w:t>
      </w:r>
    </w:p>
    <w:p w14:paraId="3672EA03" w14:textId="77777777" w:rsidR="00E24494" w:rsidRPr="003966BD" w:rsidRDefault="00E24494" w:rsidP="003966BD">
      <w:pPr>
        <w:pStyle w:val="Nagwek2"/>
        <w:rPr>
          <w:rFonts w:asciiTheme="minorHAnsi" w:hAnsiTheme="minorHAnsi" w:cstheme="minorHAnsi"/>
          <w:sz w:val="24"/>
          <w:szCs w:val="24"/>
        </w:rPr>
      </w:pPr>
      <w:r w:rsidRPr="003966BD">
        <w:rPr>
          <w:rFonts w:asciiTheme="minorHAnsi" w:hAnsiTheme="minorHAnsi" w:cstheme="minorHAnsi"/>
          <w:sz w:val="24"/>
          <w:szCs w:val="24"/>
        </w:rPr>
        <w:t>Efektywność energetyczna jako fundament oszczędności</w:t>
      </w:r>
    </w:p>
    <w:p w14:paraId="718855AB" w14:textId="77777777" w:rsidR="00E24494" w:rsidRPr="00E24494" w:rsidRDefault="00E24494" w:rsidP="00E24494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E24494">
        <w:rPr>
          <w:rFonts w:eastAsia="Times New Roman" w:cstheme="minorHAnsi"/>
          <w:kern w:val="0"/>
          <w:lang w:eastAsia="pl-PL"/>
          <w14:ligatures w14:val="none"/>
        </w:rPr>
        <w:t>Najważniejszym elementem minimalizacji kosztów pozostaje efektywność energetyczna. Według raportu amerykańskiej agencji DOE, technologia LED zużywa 60–80% mniej energii niż tradycyjne źródła światła, takie jak świetlówki kompaktowe czy lampy sodowe. W praktyce oznacza to, że w biurowcu o powierzchni 20 tys. m², gdzie zainstalowano 2 tys. opraw, rachunki za energię mogą być niższe nawet o kilkaset tysięcy złotych rocznie.</w:t>
      </w:r>
    </w:p>
    <w:p w14:paraId="164B867F" w14:textId="5ED87107" w:rsidR="00E24494" w:rsidRPr="00E24494" w:rsidRDefault="00E24494" w:rsidP="00E24494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E24494">
        <w:rPr>
          <w:rFonts w:eastAsia="Times New Roman" w:cstheme="minorHAnsi"/>
          <w:kern w:val="0"/>
          <w:lang w:eastAsia="pl-PL"/>
          <w14:ligatures w14:val="none"/>
        </w:rPr>
        <w:t xml:space="preserve">LED-y oferują również wysoką stabilność parametrów świetlnych. Żywotność nowoczesnych modułów sięga </w:t>
      </w:r>
      <w:r w:rsidR="009F3BF4">
        <w:rPr>
          <w:rFonts w:eastAsia="Times New Roman" w:cstheme="minorHAnsi"/>
          <w:kern w:val="0"/>
          <w:lang w:eastAsia="pl-PL"/>
          <w14:ligatures w14:val="none"/>
        </w:rPr>
        <w:t>10</w:t>
      </w:r>
      <w:r w:rsidRPr="00E24494">
        <w:rPr>
          <w:rFonts w:eastAsia="Times New Roman" w:cstheme="minorHAnsi"/>
          <w:kern w:val="0"/>
          <w:lang w:eastAsia="pl-PL"/>
          <w14:ligatures w14:val="none"/>
        </w:rPr>
        <w:t xml:space="preserve">0 tys. godzin pracy, co odpowiada </w:t>
      </w:r>
      <w:r w:rsidR="009F3BF4">
        <w:rPr>
          <w:rFonts w:eastAsia="Times New Roman" w:cstheme="minorHAnsi"/>
          <w:kern w:val="0"/>
          <w:lang w:eastAsia="pl-PL"/>
          <w14:ligatures w14:val="none"/>
        </w:rPr>
        <w:t>ponad</w:t>
      </w:r>
      <w:r w:rsidRPr="00E24494">
        <w:rPr>
          <w:rFonts w:eastAsia="Times New Roman" w:cstheme="minorHAnsi"/>
          <w:kern w:val="0"/>
          <w:lang w:eastAsia="pl-PL"/>
          <w14:ligatures w14:val="none"/>
        </w:rPr>
        <w:t xml:space="preserve"> 10 latom użytkowania przy typowym harmonogramie biurowym (12 godzin dziennie, 5 dni w tygodniu).</w:t>
      </w:r>
    </w:p>
    <w:p w14:paraId="6A7375E6" w14:textId="77777777" w:rsidR="00E24494" w:rsidRPr="00E24494" w:rsidRDefault="00E24494" w:rsidP="003966BD">
      <w:pPr>
        <w:pStyle w:val="Nagwek2"/>
        <w:rPr>
          <w:rFonts w:asciiTheme="minorHAnsi" w:hAnsiTheme="minorHAnsi" w:cstheme="minorHAnsi"/>
          <w:sz w:val="24"/>
          <w:szCs w:val="24"/>
        </w:rPr>
      </w:pPr>
      <w:r w:rsidRPr="00E24494">
        <w:rPr>
          <w:rFonts w:asciiTheme="minorHAnsi" w:hAnsiTheme="minorHAnsi" w:cstheme="minorHAnsi"/>
          <w:sz w:val="24"/>
          <w:szCs w:val="24"/>
        </w:rPr>
        <w:t>Serwisowanie i koszty utrzymania</w:t>
      </w:r>
    </w:p>
    <w:p w14:paraId="6A7EE87F" w14:textId="6FED13AD" w:rsidR="00E24494" w:rsidRPr="00E24494" w:rsidRDefault="00E24494" w:rsidP="00E24494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E24494">
        <w:rPr>
          <w:rFonts w:eastAsia="Times New Roman" w:cstheme="minorHAnsi"/>
          <w:kern w:val="0"/>
          <w:lang w:eastAsia="pl-PL"/>
          <w14:ligatures w14:val="none"/>
        </w:rPr>
        <w:t xml:space="preserve">W przypadku tradycyjnych źródeł światła wymiana żarówek lub świetlówek musiała następować co kilkanaście miesięcy. Każda taka operacja generowała koszty – zarówno zakupu części, jak i samego serwisu. LED-y znacząco redukują to ryzyko. </w:t>
      </w:r>
      <w:r w:rsidR="00620744">
        <w:rPr>
          <w:rFonts w:eastAsia="Times New Roman" w:cstheme="minorHAnsi"/>
          <w:kern w:val="0"/>
          <w:lang w:eastAsia="pl-PL"/>
          <w14:ligatures w14:val="none"/>
        </w:rPr>
        <w:t>Doświadczenie pokazuje</w:t>
      </w:r>
      <w:r w:rsidRPr="00E24494">
        <w:rPr>
          <w:rFonts w:eastAsia="Times New Roman" w:cstheme="minorHAnsi"/>
          <w:kern w:val="0"/>
          <w:lang w:eastAsia="pl-PL"/>
          <w14:ligatures w14:val="none"/>
        </w:rPr>
        <w:t>, że oprawy LED wymagają istotnie mniej prac konserwacyjnych niż tradycyjne rozwiązania.</w:t>
      </w:r>
      <w:r w:rsidR="00620744">
        <w:rPr>
          <w:rFonts w:eastAsia="Times New Roman" w:cstheme="minorHAnsi"/>
          <w:kern w:val="0"/>
          <w:lang w:eastAsia="pl-PL"/>
          <w14:ligatures w14:val="none"/>
        </w:rPr>
        <w:t xml:space="preserve"> Co więcej, część producentów jest na tyle pewn</w:t>
      </w:r>
      <w:r w:rsidR="00D1132F">
        <w:rPr>
          <w:rFonts w:eastAsia="Times New Roman" w:cstheme="minorHAnsi"/>
          <w:kern w:val="0"/>
          <w:lang w:eastAsia="pl-PL"/>
          <w14:ligatures w14:val="none"/>
        </w:rPr>
        <w:t xml:space="preserve">a </w:t>
      </w:r>
      <w:r w:rsidR="00620744">
        <w:rPr>
          <w:rFonts w:eastAsia="Times New Roman" w:cstheme="minorHAnsi"/>
          <w:kern w:val="0"/>
          <w:lang w:eastAsia="pl-PL"/>
          <w14:ligatures w14:val="none"/>
        </w:rPr>
        <w:t xml:space="preserve">jakości </w:t>
      </w:r>
      <w:r w:rsidR="00D1132F">
        <w:rPr>
          <w:rFonts w:eastAsia="Times New Roman" w:cstheme="minorHAnsi"/>
          <w:kern w:val="0"/>
          <w:lang w:eastAsia="pl-PL"/>
          <w14:ligatures w14:val="none"/>
        </w:rPr>
        <w:t>swoich</w:t>
      </w:r>
      <w:r w:rsidR="00620744">
        <w:rPr>
          <w:rFonts w:eastAsia="Times New Roman" w:cstheme="minorHAnsi"/>
          <w:kern w:val="0"/>
          <w:lang w:eastAsia="pl-PL"/>
          <w14:ligatures w14:val="none"/>
        </w:rPr>
        <w:t xml:space="preserve"> opraw, że udziela na nie aż 7 letniej gwarancji. </w:t>
      </w:r>
    </w:p>
    <w:p w14:paraId="21AA3837" w14:textId="2A008F0E" w:rsidR="00E24494" w:rsidRPr="00E24494" w:rsidRDefault="003966BD" w:rsidP="00E24494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>– Zdecydowaliśmy się wprowadzić r</w:t>
      </w:r>
      <w:r w:rsidR="00E24494" w:rsidRPr="00E24494">
        <w:rPr>
          <w:rFonts w:eastAsia="Times New Roman" w:cstheme="minorHAnsi"/>
          <w:kern w:val="0"/>
          <w:lang w:eastAsia="pl-PL"/>
          <w14:ligatures w14:val="none"/>
        </w:rPr>
        <w:t>ozszerzon</w:t>
      </w:r>
      <w:r>
        <w:rPr>
          <w:rFonts w:eastAsia="Times New Roman" w:cstheme="minorHAnsi"/>
          <w:kern w:val="0"/>
          <w:lang w:eastAsia="pl-PL"/>
          <w14:ligatures w14:val="none"/>
        </w:rPr>
        <w:t>ą, 7 letnią</w:t>
      </w:r>
      <w:r w:rsidR="00E24494" w:rsidRPr="00E24494">
        <w:rPr>
          <w:rFonts w:eastAsia="Times New Roman" w:cstheme="minorHAnsi"/>
          <w:kern w:val="0"/>
          <w:lang w:eastAsia="pl-PL"/>
          <w14:ligatures w14:val="none"/>
        </w:rPr>
        <w:t xml:space="preserve"> gwarancj</w:t>
      </w:r>
      <w:r>
        <w:rPr>
          <w:rFonts w:eastAsia="Times New Roman" w:cstheme="minorHAnsi"/>
          <w:kern w:val="0"/>
          <w:lang w:eastAsia="pl-PL"/>
          <w14:ligatures w14:val="none"/>
        </w:rPr>
        <w:t>ę</w:t>
      </w:r>
      <w:r w:rsidR="00E24494" w:rsidRPr="00E24494">
        <w:rPr>
          <w:rFonts w:eastAsia="Times New Roman" w:cstheme="minorHAnsi"/>
          <w:kern w:val="0"/>
          <w:lang w:eastAsia="pl-PL"/>
          <w14:ligatures w14:val="none"/>
        </w:rPr>
        <w:t xml:space="preserve"> na </w:t>
      </w:r>
      <w:r w:rsidR="009F3BF4">
        <w:rPr>
          <w:rFonts w:eastAsia="Times New Roman" w:cstheme="minorHAnsi"/>
          <w:kern w:val="0"/>
          <w:lang w:eastAsia="pl-PL"/>
          <w14:ligatures w14:val="none"/>
        </w:rPr>
        <w:t xml:space="preserve">ponad 200 </w:t>
      </w:r>
      <w:proofErr w:type="spellStart"/>
      <w:r w:rsidR="009F3BF4">
        <w:rPr>
          <w:rFonts w:eastAsia="Times New Roman" w:cstheme="minorHAnsi"/>
          <w:kern w:val="0"/>
          <w:lang w:eastAsia="pl-PL"/>
          <w14:ligatures w14:val="none"/>
        </w:rPr>
        <w:t>opraw</w:t>
      </w:r>
      <w:r w:rsidR="00E24494" w:rsidRPr="00E24494">
        <w:rPr>
          <w:rFonts w:eastAsia="Times New Roman" w:cstheme="minorHAnsi"/>
          <w:kern w:val="0"/>
          <w:lang w:eastAsia="pl-PL"/>
          <w14:ligatures w14:val="none"/>
        </w:rPr>
        <w:t>LED</w:t>
      </w:r>
      <w:proofErr w:type="spellEnd"/>
      <w:r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proofErr w:type="spellStart"/>
      <w:r>
        <w:rPr>
          <w:rFonts w:eastAsia="Times New Roman" w:cstheme="minorHAnsi"/>
          <w:kern w:val="0"/>
          <w:lang w:eastAsia="pl-PL"/>
          <w14:ligatures w14:val="none"/>
        </w:rPr>
        <w:t>l</w:t>
      </w:r>
      <w:r w:rsidR="00E24494" w:rsidRPr="00E24494">
        <w:rPr>
          <w:rFonts w:eastAsia="Times New Roman" w:cstheme="minorHAnsi"/>
          <w:kern w:val="0"/>
          <w:lang w:eastAsia="pl-PL"/>
          <w14:ligatures w14:val="none"/>
        </w:rPr>
        <w:t>ine</w:t>
      </w:r>
      <w:proofErr w:type="spellEnd"/>
      <w:r>
        <w:rPr>
          <w:rFonts w:eastAsia="Times New Roman" w:cstheme="minorHAnsi"/>
          <w:kern w:val="0"/>
          <w:lang w:eastAsia="pl-PL"/>
          <w14:ligatures w14:val="none"/>
        </w:rPr>
        <w:t xml:space="preserve">, </w:t>
      </w:r>
      <w:r w:rsidR="00210E10">
        <w:rPr>
          <w:rFonts w:eastAsia="Times New Roman" w:cstheme="minorHAnsi"/>
          <w:kern w:val="0"/>
          <w:lang w:eastAsia="pl-PL"/>
          <w14:ligatures w14:val="none"/>
        </w:rPr>
        <w:t>a</w:t>
      </w:r>
      <w:r>
        <w:rPr>
          <w:rFonts w:eastAsia="Times New Roman" w:cstheme="minorHAnsi"/>
          <w:kern w:val="0"/>
          <w:lang w:eastAsia="pl-PL"/>
          <w14:ligatures w14:val="none"/>
        </w:rPr>
        <w:t>by</w:t>
      </w:r>
      <w:r w:rsidR="00E24494" w:rsidRPr="00E24494">
        <w:rPr>
          <w:rFonts w:eastAsia="Times New Roman" w:cstheme="minorHAnsi"/>
          <w:kern w:val="0"/>
          <w:lang w:eastAsia="pl-PL"/>
          <w14:ligatures w14:val="none"/>
        </w:rPr>
        <w:t xml:space="preserve"> podkreśl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ić </w:t>
      </w:r>
      <w:r w:rsidR="00E24494" w:rsidRPr="00E24494">
        <w:rPr>
          <w:rFonts w:eastAsia="Times New Roman" w:cstheme="minorHAnsi"/>
          <w:kern w:val="0"/>
          <w:lang w:eastAsia="pl-PL"/>
          <w14:ligatures w14:val="none"/>
        </w:rPr>
        <w:t>ich trwałość</w:t>
      </w:r>
      <w:r w:rsidR="00210E10">
        <w:rPr>
          <w:rFonts w:eastAsia="Times New Roman" w:cstheme="minorHAnsi"/>
          <w:kern w:val="0"/>
          <w:lang w:eastAsia="pl-PL"/>
          <w14:ligatures w14:val="none"/>
        </w:rPr>
        <w:t xml:space="preserve"> i niezawodność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. </w:t>
      </w:r>
      <w:r w:rsidR="00E24494" w:rsidRPr="00E24494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>
        <w:rPr>
          <w:rFonts w:eastAsia="Times New Roman" w:cstheme="minorHAnsi"/>
          <w:kern w:val="0"/>
          <w:lang w:eastAsia="pl-PL"/>
          <w14:ligatures w14:val="none"/>
        </w:rPr>
        <w:t>I</w:t>
      </w:r>
      <w:r w:rsidR="00E24494" w:rsidRPr="00E24494">
        <w:rPr>
          <w:rFonts w:eastAsia="Times New Roman" w:cstheme="minorHAnsi"/>
          <w:kern w:val="0"/>
          <w:lang w:eastAsia="pl-PL"/>
          <w14:ligatures w14:val="none"/>
        </w:rPr>
        <w:t>nwestor i zarządca m</w:t>
      </w:r>
      <w:r>
        <w:rPr>
          <w:rFonts w:eastAsia="Times New Roman" w:cstheme="minorHAnsi"/>
          <w:kern w:val="0"/>
          <w:lang w:eastAsia="pl-PL"/>
          <w14:ligatures w14:val="none"/>
        </w:rPr>
        <w:t>ogą mieć</w:t>
      </w:r>
      <w:r w:rsidR="00E24494" w:rsidRPr="00E24494">
        <w:rPr>
          <w:rFonts w:eastAsia="Times New Roman" w:cstheme="minorHAnsi"/>
          <w:kern w:val="0"/>
          <w:lang w:eastAsia="pl-PL"/>
          <w14:ligatures w14:val="none"/>
        </w:rPr>
        <w:t xml:space="preserve"> pewność, że oświetlenie będzie działać bezawaryjnie przez długi okres. Dzięki temu można planować budżet konserwacyjny na wiele lat do przodu, co istotnie zmniejsza koszty utrzymania” – </w:t>
      </w:r>
      <w:r w:rsidR="00E24494" w:rsidRPr="009F3BF4">
        <w:rPr>
          <w:rFonts w:eastAsia="Times New Roman" w:cstheme="minorHAnsi"/>
          <w:kern w:val="0"/>
          <w:lang w:eastAsia="pl-PL"/>
          <w14:ligatures w14:val="none"/>
        </w:rPr>
        <w:t xml:space="preserve">mówi </w:t>
      </w:r>
      <w:r w:rsidR="005C2F5A" w:rsidRPr="009F3BF4">
        <w:rPr>
          <w:rFonts w:eastAsia="Times New Roman" w:cstheme="minorHAnsi"/>
          <w:kern w:val="0"/>
          <w:lang w:eastAsia="pl-PL"/>
          <w14:ligatures w14:val="none"/>
        </w:rPr>
        <w:t xml:space="preserve">Przemysław Kowalczyk, CEO LEDIN </w:t>
      </w:r>
      <w:proofErr w:type="spellStart"/>
      <w:r w:rsidR="005C2F5A" w:rsidRPr="009F3BF4">
        <w:rPr>
          <w:rFonts w:eastAsia="Times New Roman" w:cstheme="minorHAnsi"/>
          <w:kern w:val="0"/>
          <w:lang w:eastAsia="pl-PL"/>
          <w14:ligatures w14:val="none"/>
        </w:rPr>
        <w:t>Group</w:t>
      </w:r>
      <w:proofErr w:type="spellEnd"/>
      <w:r w:rsidR="005C2F5A" w:rsidRPr="009F3BF4">
        <w:rPr>
          <w:rFonts w:eastAsia="Times New Roman" w:cstheme="minorHAnsi"/>
          <w:kern w:val="0"/>
          <w:lang w:eastAsia="pl-PL"/>
          <w14:ligatures w14:val="none"/>
        </w:rPr>
        <w:t xml:space="preserve"> Sp. z o.o.</w:t>
      </w:r>
    </w:p>
    <w:p w14:paraId="1A3B54EC" w14:textId="77777777" w:rsidR="00E24494" w:rsidRPr="00E24494" w:rsidRDefault="00E24494" w:rsidP="00E24494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E24494">
        <w:rPr>
          <w:rFonts w:eastAsia="Times New Roman" w:cstheme="minorHAnsi"/>
          <w:kern w:val="0"/>
          <w:lang w:eastAsia="pl-PL"/>
          <w14:ligatures w14:val="none"/>
        </w:rPr>
        <w:t>W praktyce oznacza to, że zarządca może ograniczyć liczbę interwencji serwisowych do minimum, a także zredukować ryzyko niespodziewanych kosztów.</w:t>
      </w:r>
    </w:p>
    <w:p w14:paraId="7135AB63" w14:textId="77777777" w:rsidR="00E24494" w:rsidRPr="00E24494" w:rsidRDefault="00E24494" w:rsidP="003966BD">
      <w:pPr>
        <w:pStyle w:val="Nagwek2"/>
        <w:rPr>
          <w:rFonts w:asciiTheme="minorHAnsi" w:hAnsiTheme="minorHAnsi" w:cstheme="minorHAnsi"/>
          <w:sz w:val="24"/>
          <w:szCs w:val="24"/>
        </w:rPr>
      </w:pPr>
      <w:r w:rsidRPr="00E24494">
        <w:rPr>
          <w:rFonts w:asciiTheme="minorHAnsi" w:hAnsiTheme="minorHAnsi" w:cstheme="minorHAnsi"/>
          <w:sz w:val="24"/>
          <w:szCs w:val="24"/>
        </w:rPr>
        <w:t>Inteligentne systemy sterowania</w:t>
      </w:r>
    </w:p>
    <w:p w14:paraId="32FCE402" w14:textId="3A6E3F36" w:rsidR="00E24494" w:rsidRPr="00E24494" w:rsidRDefault="00E24494" w:rsidP="00E24494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E24494">
        <w:rPr>
          <w:rFonts w:eastAsia="Times New Roman" w:cstheme="minorHAnsi"/>
          <w:kern w:val="0"/>
          <w:lang w:eastAsia="pl-PL"/>
          <w14:ligatures w14:val="none"/>
        </w:rPr>
        <w:t xml:space="preserve">Drugim filarem minimalizacji kosztów jest automatyzacja. Współczesne systemy sterowania oświetleniem, takie jak DALI czy </w:t>
      </w:r>
      <w:r w:rsidR="00D16DB2">
        <w:rPr>
          <w:rFonts w:eastAsia="Times New Roman" w:cstheme="minorHAnsi"/>
          <w:kern w:val="0"/>
          <w:lang w:eastAsia="pl-PL"/>
          <w14:ligatures w14:val="none"/>
        </w:rPr>
        <w:t>0/1-10V</w:t>
      </w:r>
      <w:r w:rsidRPr="00E24494">
        <w:rPr>
          <w:rFonts w:eastAsia="Times New Roman" w:cstheme="minorHAnsi"/>
          <w:kern w:val="0"/>
          <w:lang w:eastAsia="pl-PL"/>
          <w14:ligatures w14:val="none"/>
        </w:rPr>
        <w:t xml:space="preserve">, umożliwiają integrację opraw z czujnikami ruchu, obecności czy natężenia światła dziennego. Dzięki temu lampy świecą tylko wtedy, gdy jest </w:t>
      </w:r>
      <w:r w:rsidRPr="00E24494">
        <w:rPr>
          <w:rFonts w:eastAsia="Times New Roman" w:cstheme="minorHAnsi"/>
          <w:kern w:val="0"/>
          <w:lang w:eastAsia="pl-PL"/>
          <w14:ligatures w14:val="none"/>
        </w:rPr>
        <w:lastRenderedPageBreak/>
        <w:t>to faktycznie potrzebne</w:t>
      </w:r>
      <w:r w:rsidR="00213435">
        <w:rPr>
          <w:rFonts w:eastAsia="Times New Roman" w:cstheme="minorHAnsi"/>
          <w:kern w:val="0"/>
          <w:lang w:eastAsia="pl-PL"/>
          <w14:ligatures w14:val="none"/>
        </w:rPr>
        <w:t xml:space="preserve"> i z taką intensywnością jaka gwarantuje właściw</w:t>
      </w:r>
      <w:r w:rsidR="00792DAE">
        <w:rPr>
          <w:rFonts w:eastAsia="Times New Roman" w:cstheme="minorHAnsi"/>
          <w:kern w:val="0"/>
          <w:lang w:eastAsia="pl-PL"/>
          <w14:ligatures w14:val="none"/>
        </w:rPr>
        <w:t xml:space="preserve">y poziom natężenia </w:t>
      </w:r>
      <w:proofErr w:type="spellStart"/>
      <w:r w:rsidR="00792DAE">
        <w:rPr>
          <w:rFonts w:eastAsia="Times New Roman" w:cstheme="minorHAnsi"/>
          <w:kern w:val="0"/>
          <w:lang w:eastAsia="pl-PL"/>
          <w14:ligatures w14:val="none"/>
        </w:rPr>
        <w:t>wiatła</w:t>
      </w:r>
      <w:proofErr w:type="spellEnd"/>
      <w:r w:rsidR="00792DAE">
        <w:rPr>
          <w:rFonts w:eastAsia="Times New Roman" w:cstheme="minorHAnsi"/>
          <w:kern w:val="0"/>
          <w:lang w:eastAsia="pl-PL"/>
          <w14:ligatures w14:val="none"/>
        </w:rPr>
        <w:t>.</w:t>
      </w:r>
    </w:p>
    <w:p w14:paraId="2AC401E9" w14:textId="77777777" w:rsidR="00E24494" w:rsidRPr="00E24494" w:rsidRDefault="00E24494" w:rsidP="00E24494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E24494">
        <w:rPr>
          <w:rFonts w:eastAsia="Times New Roman" w:cstheme="minorHAnsi"/>
          <w:kern w:val="0"/>
          <w:lang w:eastAsia="pl-PL"/>
          <w14:ligatures w14:val="none"/>
        </w:rPr>
        <w:t>Przykład: w garażu podziemnym o powierzchni 5000 m² zastosowanie czujników obecności pozwala zredukować czas świecenia opraw nawet o 70%, co przekłada się na kilkudziesięcioprocentowe oszczędności energii.</w:t>
      </w:r>
    </w:p>
    <w:p w14:paraId="3C8A11AD" w14:textId="77777777" w:rsidR="00E24494" w:rsidRPr="00E24494" w:rsidRDefault="00E24494" w:rsidP="00E24494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E24494">
        <w:rPr>
          <w:rFonts w:eastAsia="Times New Roman" w:cstheme="minorHAnsi"/>
          <w:kern w:val="0"/>
          <w:lang w:eastAsia="pl-PL"/>
          <w14:ligatures w14:val="none"/>
        </w:rPr>
        <w:t>Dodatkowo, integracja z systemem BMS pozwala nie tylko sterować pracą oświetlenia, ale też monitorować stan instalacji i przewidywać ewentualne usterki. Zarządca otrzymuje powiadomienie o spadku wydajności konkretnej oprawy i może zaplanować jej wymianę w dogodnym terminie, zamiast reagować na awarię w trybie awaryjnym.</w:t>
      </w:r>
    </w:p>
    <w:p w14:paraId="17D4DF02" w14:textId="77777777" w:rsidR="00E24494" w:rsidRPr="00E24494" w:rsidRDefault="00E24494" w:rsidP="003966BD">
      <w:pPr>
        <w:pStyle w:val="Nagwek2"/>
        <w:rPr>
          <w:rFonts w:asciiTheme="minorHAnsi" w:hAnsiTheme="minorHAnsi" w:cstheme="minorHAnsi"/>
          <w:sz w:val="24"/>
          <w:szCs w:val="24"/>
        </w:rPr>
      </w:pPr>
      <w:r w:rsidRPr="00E24494">
        <w:rPr>
          <w:rFonts w:asciiTheme="minorHAnsi" w:hAnsiTheme="minorHAnsi" w:cstheme="minorHAnsi"/>
          <w:sz w:val="24"/>
          <w:szCs w:val="24"/>
        </w:rPr>
        <w:t>Konstrukcja opraw i modularność rozwiązań</w:t>
      </w:r>
    </w:p>
    <w:p w14:paraId="5C7C1C4D" w14:textId="77777777" w:rsidR="00E24494" w:rsidRPr="00E24494" w:rsidRDefault="00E24494" w:rsidP="00E24494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E24494">
        <w:rPr>
          <w:rFonts w:eastAsia="Times New Roman" w:cstheme="minorHAnsi"/>
          <w:kern w:val="0"/>
          <w:lang w:eastAsia="pl-PL"/>
          <w14:ligatures w14:val="none"/>
        </w:rPr>
        <w:t>Wydłużenie żywotności opraw zależy także od jakości ich konstrukcji. Kluczowe znaczenie ma klasa szczelności (IP), odporność na czynniki zewnętrzne oraz system odprowadzania ciepła. Przegrzewanie LED-ów jest jedną z głównych przyczyn ich awarii, dlatego odpowiednia konstrukcja termiczna to podstawa.</w:t>
      </w:r>
    </w:p>
    <w:p w14:paraId="2056A83E" w14:textId="4E75C956" w:rsidR="00E24494" w:rsidRPr="00E24494" w:rsidRDefault="00E24494" w:rsidP="00E24494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E24494">
        <w:rPr>
          <w:rFonts w:eastAsia="Times New Roman" w:cstheme="minorHAnsi"/>
          <w:kern w:val="0"/>
          <w:lang w:eastAsia="pl-PL"/>
          <w14:ligatures w14:val="none"/>
        </w:rPr>
        <w:t>Coraz częściej producenci oferują również oprawy o budowie modularnej. W przypadku awarii nie trzeba wymieniać całej lampy, wystarczy zastąpić uszkodzony moduł. To nie tylko niższe koszty</w:t>
      </w:r>
      <w:r w:rsidR="000F4FED">
        <w:rPr>
          <w:rFonts w:eastAsia="Times New Roman" w:cstheme="minorHAnsi"/>
          <w:kern w:val="0"/>
          <w:lang w:eastAsia="pl-PL"/>
          <w14:ligatures w14:val="none"/>
        </w:rPr>
        <w:t xml:space="preserve"> eksploatacji</w:t>
      </w:r>
      <w:r w:rsidRPr="00E24494">
        <w:rPr>
          <w:rFonts w:eastAsia="Times New Roman" w:cstheme="minorHAnsi"/>
          <w:kern w:val="0"/>
          <w:lang w:eastAsia="pl-PL"/>
          <w14:ligatures w14:val="none"/>
        </w:rPr>
        <w:t xml:space="preserve">, ale też mniejszy </w:t>
      </w:r>
      <w:r w:rsidR="000F4FED">
        <w:rPr>
          <w:rFonts w:eastAsia="Times New Roman" w:cstheme="minorHAnsi"/>
          <w:kern w:val="0"/>
          <w:lang w:eastAsia="pl-PL"/>
          <w14:ligatures w14:val="none"/>
        </w:rPr>
        <w:t>ślad</w:t>
      </w:r>
      <w:r w:rsidRPr="00E24494">
        <w:rPr>
          <w:rFonts w:eastAsia="Times New Roman" w:cstheme="minorHAnsi"/>
          <w:kern w:val="0"/>
          <w:lang w:eastAsia="pl-PL"/>
          <w14:ligatures w14:val="none"/>
        </w:rPr>
        <w:t xml:space="preserve"> środowisko</w:t>
      </w:r>
      <w:r w:rsidR="000F4FED">
        <w:rPr>
          <w:rFonts w:eastAsia="Times New Roman" w:cstheme="minorHAnsi"/>
          <w:kern w:val="0"/>
          <w:lang w:eastAsia="pl-PL"/>
          <w14:ligatures w14:val="none"/>
        </w:rPr>
        <w:t>wy</w:t>
      </w:r>
      <w:r w:rsidRPr="00E24494">
        <w:rPr>
          <w:rFonts w:eastAsia="Times New Roman" w:cstheme="minorHAnsi"/>
          <w:kern w:val="0"/>
          <w:lang w:eastAsia="pl-PL"/>
          <w14:ligatures w14:val="none"/>
        </w:rPr>
        <w:t>, co ma znaczenie w kontekście wymagań ESG.</w:t>
      </w:r>
    </w:p>
    <w:p w14:paraId="37810613" w14:textId="77777777" w:rsidR="00E24494" w:rsidRPr="00E24494" w:rsidRDefault="00E24494" w:rsidP="003966BD">
      <w:pPr>
        <w:pStyle w:val="Nagwek2"/>
        <w:rPr>
          <w:rFonts w:asciiTheme="minorHAnsi" w:hAnsiTheme="minorHAnsi" w:cstheme="minorHAnsi"/>
          <w:sz w:val="24"/>
          <w:szCs w:val="24"/>
        </w:rPr>
      </w:pPr>
      <w:r w:rsidRPr="00E24494">
        <w:rPr>
          <w:rFonts w:asciiTheme="minorHAnsi" w:hAnsiTheme="minorHAnsi" w:cstheme="minorHAnsi"/>
          <w:sz w:val="24"/>
          <w:szCs w:val="24"/>
        </w:rPr>
        <w:t>Gwarancja jako element strategii finansowej</w:t>
      </w:r>
    </w:p>
    <w:p w14:paraId="6BD2DF8A" w14:textId="77777777" w:rsidR="00E24494" w:rsidRPr="00E24494" w:rsidRDefault="00E24494" w:rsidP="00E24494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E24494">
        <w:rPr>
          <w:rFonts w:eastAsia="Times New Roman" w:cstheme="minorHAnsi"/>
          <w:kern w:val="0"/>
          <w:lang w:eastAsia="pl-PL"/>
          <w14:ligatures w14:val="none"/>
        </w:rPr>
        <w:t>Deweloperzy i zarządcy coraz częściej przywiązują wagę do warunków gwarancji. Wydłużony, siedmioletni okres ochrony, jaki oferuje część producentów, to w praktyce narzędzie finansowe.</w:t>
      </w:r>
    </w:p>
    <w:p w14:paraId="2DAEA9CE" w14:textId="27580879" w:rsidR="00620744" w:rsidRPr="00E24494" w:rsidRDefault="00231F52" w:rsidP="009F3BF4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 xml:space="preserve">– </w:t>
      </w:r>
      <w:r w:rsidR="00E24494" w:rsidRPr="00E24494">
        <w:rPr>
          <w:rFonts w:eastAsia="Times New Roman" w:cstheme="minorHAnsi"/>
          <w:kern w:val="0"/>
          <w:lang w:eastAsia="pl-PL"/>
          <w14:ligatures w14:val="none"/>
        </w:rPr>
        <w:t xml:space="preserve">Długoterminowa gwarancja to nie tylko deklaracja producenta. To element strategii finansowej inwestora, bo eliminuje ryzyko niespodziewanych wydatków serwisowych. W dłuższej perspektywie taka gwarancja obniża TCO inwestycji i zwiększa jej przewidywalność – </w:t>
      </w:r>
      <w:r>
        <w:rPr>
          <w:rFonts w:eastAsia="Times New Roman" w:cstheme="minorHAnsi"/>
          <w:kern w:val="0"/>
          <w:lang w:eastAsia="pl-PL"/>
          <w14:ligatures w14:val="none"/>
        </w:rPr>
        <w:t>konkluduje</w:t>
      </w:r>
      <w:r w:rsidR="00E24494" w:rsidRPr="00E24494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 w:rsidR="009F3BF4" w:rsidRPr="009F3BF4">
        <w:rPr>
          <w:rFonts w:eastAsia="Times New Roman" w:cstheme="minorHAnsi"/>
          <w:kern w:val="0"/>
          <w:lang w:eastAsia="pl-PL"/>
          <w14:ligatures w14:val="none"/>
        </w:rPr>
        <w:t xml:space="preserve">Michał Wójcicki, Dyrektor Handlowy w LED </w:t>
      </w:r>
      <w:proofErr w:type="spellStart"/>
      <w:r w:rsidR="009F3BF4" w:rsidRPr="009F3BF4">
        <w:rPr>
          <w:rFonts w:eastAsia="Times New Roman" w:cstheme="minorHAnsi"/>
          <w:kern w:val="0"/>
          <w:lang w:eastAsia="pl-PL"/>
          <w14:ligatures w14:val="none"/>
        </w:rPr>
        <w:t>line</w:t>
      </w:r>
      <w:proofErr w:type="spellEnd"/>
      <w:r w:rsidR="009F3BF4">
        <w:rPr>
          <w:rFonts w:eastAsia="Times New Roman" w:cstheme="minorHAnsi"/>
          <w:kern w:val="0"/>
          <w:lang w:eastAsia="pl-PL"/>
          <w14:ligatures w14:val="none"/>
        </w:rPr>
        <w:t xml:space="preserve">. </w:t>
      </w:r>
      <w:r w:rsidR="00620744" w:rsidRPr="00E24494">
        <w:rPr>
          <w:rFonts w:eastAsia="Times New Roman" w:cstheme="minorHAnsi"/>
          <w:kern w:val="0"/>
          <w:lang w:eastAsia="pl-PL"/>
          <w14:ligatures w14:val="none"/>
        </w:rPr>
        <w:t>TCO obejmuje nie tylko cenę zakupu opraw, ale również koszty ich eksploatacji, serwisowania, wymiany oraz ewentualnych strat wynikających z awarii i przestojów. W halach magazynowych czy biurowcach wymiana jednej oprawy może wiązać się z koniecznością wynajmu podnośnika i zaangażowania dodatkowych pracowników, co istotnie podnosi koszty.</w:t>
      </w:r>
    </w:p>
    <w:p w14:paraId="20B50C12" w14:textId="4172EB5B" w:rsidR="00E24494" w:rsidRPr="00E24494" w:rsidRDefault="00231F52" w:rsidP="00E24494">
      <w:pPr>
        <w:spacing w:before="100" w:beforeAutospacing="1" w:after="100" w:afterAutospacing="1"/>
        <w:outlineLvl w:val="2"/>
        <w:rPr>
          <w:rFonts w:eastAsia="Times New Roman" w:cstheme="minorHAnsi"/>
          <w:b/>
          <w:bCs/>
          <w:kern w:val="0"/>
          <w:lang w:eastAsia="pl-PL"/>
          <w14:ligatures w14:val="none"/>
        </w:rPr>
      </w:pPr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>Oświetlenie widziane w szerszej perspektywie</w:t>
      </w:r>
    </w:p>
    <w:p w14:paraId="5C9CC5E9" w14:textId="77777777" w:rsidR="00E24494" w:rsidRDefault="00E24494" w:rsidP="00E24494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E24494">
        <w:rPr>
          <w:rFonts w:eastAsia="Times New Roman" w:cstheme="minorHAnsi"/>
          <w:kern w:val="0"/>
          <w:lang w:eastAsia="pl-PL"/>
          <w14:ligatures w14:val="none"/>
        </w:rPr>
        <w:t>Minimalizacja kosztów utrzymania oświetlenia to proces wieloetapowy. Kluczowe znaczenie mają: wybór technologii LED, automatyzacja i inteligentne sterowanie, odpowiednia konstrukcja opraw oraz korzystne warunki gwarancji. Dzięki tym elementom deweloperzy i zarządcy nieruchomości mogą realnie obniżyć koszty operacyjne i zapewnić sobie spokój finansowy w perspektywie wielu lat.</w:t>
      </w:r>
    </w:p>
    <w:p w14:paraId="7D321E96" w14:textId="79BF6323" w:rsidR="00755ACD" w:rsidRPr="00E24494" w:rsidRDefault="00755ACD" w:rsidP="00E24494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755ACD">
        <w:rPr>
          <w:rFonts w:eastAsia="Times New Roman" w:cstheme="minorHAnsi"/>
          <w:kern w:val="0"/>
          <w:lang w:eastAsia="pl-PL"/>
          <w14:ligatures w14:val="none"/>
        </w:rPr>
        <w:lastRenderedPageBreak/>
        <w:t xml:space="preserve">Oświetlenie w inwestycjach komercyjnych przestaje być kosztem – staje się inwestycją w długowieczność budynku. Dlatego w LED </w:t>
      </w:r>
      <w:proofErr w:type="spellStart"/>
      <w:r w:rsidRPr="00755ACD">
        <w:rPr>
          <w:rFonts w:eastAsia="Times New Roman" w:cstheme="minorHAnsi"/>
          <w:kern w:val="0"/>
          <w:lang w:eastAsia="pl-PL"/>
          <w14:ligatures w14:val="none"/>
        </w:rPr>
        <w:t>line</w:t>
      </w:r>
      <w:proofErr w:type="spellEnd"/>
      <w:r w:rsidRPr="00755ACD">
        <w:rPr>
          <w:rFonts w:eastAsia="Times New Roman" w:cstheme="minorHAnsi"/>
          <w:kern w:val="0"/>
          <w:lang w:eastAsia="pl-PL"/>
          <w14:ligatures w14:val="none"/>
        </w:rPr>
        <w:t xml:space="preserve"> koncentrujemy się na rozwiązaniach, które pozwalają projektować nie na lata, ale na dekady.</w:t>
      </w:r>
    </w:p>
    <w:p w14:paraId="05615E67" w14:textId="77777777" w:rsidR="00AB5E4D" w:rsidRPr="00620744" w:rsidRDefault="00AB5E4D">
      <w:pPr>
        <w:rPr>
          <w:rFonts w:cstheme="minorHAnsi"/>
        </w:rPr>
      </w:pPr>
    </w:p>
    <w:sectPr w:rsidR="00AB5E4D" w:rsidRPr="006207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494"/>
    <w:rsid w:val="00081DBD"/>
    <w:rsid w:val="000F4FED"/>
    <w:rsid w:val="00210E10"/>
    <w:rsid w:val="00213435"/>
    <w:rsid w:val="00231F52"/>
    <w:rsid w:val="00282DE6"/>
    <w:rsid w:val="0028706E"/>
    <w:rsid w:val="003966BD"/>
    <w:rsid w:val="003B4AF2"/>
    <w:rsid w:val="003F5A55"/>
    <w:rsid w:val="005C2F5A"/>
    <w:rsid w:val="00620744"/>
    <w:rsid w:val="00755ACD"/>
    <w:rsid w:val="00792DAE"/>
    <w:rsid w:val="007B2B90"/>
    <w:rsid w:val="00840F82"/>
    <w:rsid w:val="009F3BF4"/>
    <w:rsid w:val="00A97B68"/>
    <w:rsid w:val="00AB5E4D"/>
    <w:rsid w:val="00CB5CD3"/>
    <w:rsid w:val="00D03B87"/>
    <w:rsid w:val="00D1132F"/>
    <w:rsid w:val="00D16DB2"/>
    <w:rsid w:val="00E24494"/>
    <w:rsid w:val="00E85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0A98E"/>
  <w15:chartTrackingRefBased/>
  <w15:docId w15:val="{2E22F769-EA0F-5146-AE10-66351D702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207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qFormat/>
    <w:rsid w:val="00E24494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  <w14:ligatures w14:val="none"/>
    </w:rPr>
  </w:style>
  <w:style w:type="paragraph" w:styleId="Nagwek3">
    <w:name w:val="heading 3"/>
    <w:basedOn w:val="Normalny"/>
    <w:link w:val="Nagwek3Znak"/>
    <w:uiPriority w:val="9"/>
    <w:qFormat/>
    <w:rsid w:val="00E24494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pl-PL"/>
      <w14:ligatures w14:val="none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E24494"/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  <w14:ligatures w14:val="none"/>
    </w:rPr>
  </w:style>
  <w:style w:type="character" w:customStyle="1" w:styleId="Nagwek3Znak">
    <w:name w:val="Nagłówek 3 Znak"/>
    <w:basedOn w:val="Domylnaczcionkaakapitu"/>
    <w:link w:val="Nagwek3"/>
    <w:uiPriority w:val="9"/>
    <w:rsid w:val="00E24494"/>
    <w:rPr>
      <w:rFonts w:ascii="Times New Roman" w:eastAsia="Times New Roman" w:hAnsi="Times New Roman" w:cs="Times New Roman"/>
      <w:b/>
      <w:bCs/>
      <w:kern w:val="0"/>
      <w:sz w:val="27"/>
      <w:szCs w:val="27"/>
      <w:lang w:eastAsia="pl-PL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E2449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6207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2074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2074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2074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074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0744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2870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130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137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591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785</Words>
  <Characters>4716</Characters>
  <Application>Microsoft Office Word</Application>
  <DocSecurity>0</DocSecurity>
  <Lines>39</Lines>
  <Paragraphs>10</Paragraphs>
  <ScaleCrop>false</ScaleCrop>
  <Company/>
  <LinksUpToDate>false</LinksUpToDate>
  <CharactersWithSpaces>5491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Szruba</dc:creator>
  <cp:keywords/>
  <dc:description/>
  <cp:lastModifiedBy>Anna Goławska</cp:lastModifiedBy>
  <cp:revision>16</cp:revision>
  <dcterms:created xsi:type="dcterms:W3CDTF">2025-10-09T18:44:00Z</dcterms:created>
  <dcterms:modified xsi:type="dcterms:W3CDTF">2025-10-10T06:46:00Z</dcterms:modified>
</cp:coreProperties>
</file>