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4ED2B" w14:textId="22D3797E" w:rsidR="003F5FA0" w:rsidRPr="00907CDC" w:rsidRDefault="00C71BA9" w:rsidP="00245B0D">
      <w:pPr>
        <w:spacing w:before="240" w:line="360" w:lineRule="auto"/>
        <w:jc w:val="right"/>
        <w:rPr>
          <w:rFonts w:ascii="Calibri" w:hAnsi="Calibri" w:cs="Calibri"/>
          <w:sz w:val="22"/>
          <w:szCs w:val="22"/>
        </w:rPr>
      </w:pPr>
      <w:r>
        <w:rPr>
          <w:rFonts w:ascii="Calibri" w:hAnsi="Calibri" w:cs="Calibri"/>
          <w:sz w:val="22"/>
          <w:szCs w:val="22"/>
        </w:rPr>
        <w:t>Informacja prasowa</w:t>
      </w:r>
    </w:p>
    <w:p w14:paraId="1727C5CC" w14:textId="77777777" w:rsidR="00706F7A" w:rsidRPr="00706F7A" w:rsidRDefault="00706F7A" w:rsidP="00706F7A">
      <w:pPr>
        <w:spacing w:before="240" w:line="360" w:lineRule="auto"/>
        <w:jc w:val="center"/>
        <w:rPr>
          <w:rFonts w:ascii="Calibri" w:hAnsi="Calibri" w:cs="Calibri"/>
          <w:b/>
          <w:bCs/>
          <w:sz w:val="22"/>
          <w:szCs w:val="22"/>
        </w:rPr>
      </w:pPr>
      <w:bookmarkStart w:id="0" w:name="header"/>
      <w:bookmarkEnd w:id="0"/>
      <w:r w:rsidRPr="00706F7A">
        <w:rPr>
          <w:rFonts w:ascii="Calibri" w:hAnsi="Calibri" w:cs="Calibri"/>
          <w:b/>
          <w:bCs/>
          <w:sz w:val="22"/>
          <w:szCs w:val="22"/>
        </w:rPr>
        <w:t>Nowy rok to najlepszy moment na planowanie dużych remontów. Jakie parametry okna decydują o efektywności energetycznej budynku w 2026 roku?</w:t>
      </w:r>
    </w:p>
    <w:p w14:paraId="6BDBED10" w14:textId="77777777" w:rsidR="00706F7A" w:rsidRPr="00706F7A" w:rsidRDefault="00706F7A" w:rsidP="00706F7A">
      <w:pPr>
        <w:spacing w:before="240" w:line="360" w:lineRule="auto"/>
        <w:jc w:val="both"/>
        <w:rPr>
          <w:rFonts w:ascii="Calibri" w:hAnsi="Calibri" w:cs="Calibri"/>
          <w:b/>
          <w:bCs/>
          <w:sz w:val="22"/>
          <w:szCs w:val="22"/>
        </w:rPr>
      </w:pPr>
      <w:r w:rsidRPr="00706F7A">
        <w:rPr>
          <w:rFonts w:ascii="Calibri" w:hAnsi="Calibri" w:cs="Calibri"/>
          <w:b/>
          <w:bCs/>
          <w:sz w:val="22"/>
          <w:szCs w:val="22"/>
        </w:rPr>
        <w:t>W 2026 roku efektywność energetyczna staje się jednym z kluczowych kryteriów oceny budynku – zarówno w przypadku nowych inwestycji, jak i przy modernizacjach. Dlatego decyzje podejmowane dziś powinny uwzględniać nie tylko aktualne wymagania, ale też kierunek, w którym zmierzają regulacje i technologie.</w:t>
      </w:r>
    </w:p>
    <w:p w14:paraId="6F22635D" w14:textId="77777777" w:rsidR="00706F7A" w:rsidRPr="00706F7A" w:rsidRDefault="00706F7A" w:rsidP="00706F7A">
      <w:pPr>
        <w:spacing w:before="240" w:line="360" w:lineRule="auto"/>
        <w:jc w:val="both"/>
        <w:rPr>
          <w:rFonts w:ascii="Calibri" w:hAnsi="Calibri" w:cs="Calibri"/>
          <w:b/>
          <w:bCs/>
          <w:sz w:val="22"/>
          <w:szCs w:val="22"/>
        </w:rPr>
      </w:pPr>
      <w:r w:rsidRPr="00706F7A">
        <w:rPr>
          <w:rFonts w:ascii="Calibri" w:hAnsi="Calibri" w:cs="Calibri"/>
          <w:b/>
          <w:bCs/>
          <w:sz w:val="22"/>
          <w:szCs w:val="22"/>
        </w:rPr>
        <w:t>Dlaczego początek roku sprzyja dobrym decyzjom remontowym?</w:t>
      </w:r>
    </w:p>
    <w:p w14:paraId="154ADDD9"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Styczeń to dla wielu inwestorów indywidualnych moment, w którym decyzje remontowe zaczynają nabierać realnych kształtów. Nie bez powodu. To właśnie na początku roku najłatwiej zaplanować zakres prac, zabezpieczyć budżet i wyprzedzić sezonowe spiętrzenie zleceń. Dotyczy to w szczególności wymiany stolarki okiennej – elementu, który bezpośrednio wpływa na bilans energetyczny budynku, komfort użytkowania i koszty eksploatacji na lata.</w:t>
      </w:r>
    </w:p>
    <w:p w14:paraId="742D996F"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Planowanie wymiany okien zimą daje inwestorowi przewagę, której często brakuje przy decyzjach podejmowanych „na ostatnią chwilę”. Po pierwsze – dostępność ekip i producentów jest większa niż wiosną i latem. Po drugie – harmonogram prac można zsynchronizować z innymi etapami modernizacji: ociepleniem elewacji, wymianą źródła ciepła czy instalacją wentylacji mechanicznej. Po trzecie – jest czas na analizę parametrów technicznych, a nie tylko ceny i terminu realizacji.</w:t>
      </w:r>
    </w:p>
    <w:p w14:paraId="14641BBB"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 Najwięcej błędów przy wyborze okien wynika z pośpiechu. Gdy decyzja zapada w środku sezonu, inwestor skupia się na dostępności produktu, a nie na tym, czy jego parametry będą optymalne za kilka lat. Styczeń to moment, w którym można spokojnie zaplanować stolarkę pod przyszłe standardy energetyczne, a nie wyłącznie pod minimum wymagane dziś – podpowiada ekspert z OKNOPLAST.</w:t>
      </w:r>
    </w:p>
    <w:p w14:paraId="5F8897B1" w14:textId="77777777" w:rsidR="00706F7A" w:rsidRPr="00706F7A" w:rsidRDefault="00706F7A" w:rsidP="00706F7A">
      <w:pPr>
        <w:spacing w:before="240" w:line="360" w:lineRule="auto"/>
        <w:jc w:val="both"/>
        <w:rPr>
          <w:rFonts w:ascii="Calibri" w:hAnsi="Calibri" w:cs="Calibri"/>
          <w:b/>
          <w:bCs/>
          <w:sz w:val="22"/>
          <w:szCs w:val="22"/>
        </w:rPr>
      </w:pPr>
      <w:r w:rsidRPr="00706F7A">
        <w:rPr>
          <w:rFonts w:ascii="Calibri" w:hAnsi="Calibri" w:cs="Calibri"/>
          <w:b/>
          <w:bCs/>
          <w:sz w:val="22"/>
          <w:szCs w:val="22"/>
        </w:rPr>
        <w:t>Efektywność energetyczna okna – co naprawdę ma znaczenie?</w:t>
      </w:r>
    </w:p>
    <w:p w14:paraId="16305B70"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 xml:space="preserve">Choć w obiegowych opiniach najczęściej pojawia się jeden wskaźnik – </w:t>
      </w:r>
      <w:proofErr w:type="spellStart"/>
      <w:r w:rsidRPr="00706F7A">
        <w:rPr>
          <w:rFonts w:ascii="Calibri" w:hAnsi="Calibri" w:cs="Calibri"/>
          <w:sz w:val="22"/>
          <w:szCs w:val="22"/>
        </w:rPr>
        <w:t>Uw</w:t>
      </w:r>
      <w:proofErr w:type="spellEnd"/>
      <w:r w:rsidRPr="00706F7A">
        <w:rPr>
          <w:rFonts w:ascii="Calibri" w:hAnsi="Calibri" w:cs="Calibri"/>
          <w:sz w:val="22"/>
          <w:szCs w:val="22"/>
        </w:rPr>
        <w:t xml:space="preserve"> – rzeczywista efektywność energetyczna okna jest wypadkową kilku parametrów, które należy analizować łącznie.</w:t>
      </w:r>
    </w:p>
    <w:p w14:paraId="58308E02" w14:textId="77777777" w:rsidR="00706F7A" w:rsidRPr="00706F7A" w:rsidRDefault="00706F7A" w:rsidP="00706F7A">
      <w:pPr>
        <w:spacing w:before="240" w:line="360" w:lineRule="auto"/>
        <w:jc w:val="both"/>
        <w:rPr>
          <w:rFonts w:ascii="Calibri" w:hAnsi="Calibri" w:cs="Calibri"/>
          <w:b/>
          <w:bCs/>
          <w:sz w:val="22"/>
          <w:szCs w:val="22"/>
        </w:rPr>
      </w:pPr>
      <w:r w:rsidRPr="00706F7A">
        <w:rPr>
          <w:rFonts w:ascii="Calibri" w:hAnsi="Calibri" w:cs="Calibri"/>
          <w:b/>
          <w:bCs/>
          <w:sz w:val="22"/>
          <w:szCs w:val="22"/>
        </w:rPr>
        <w:t xml:space="preserve">Współczynnik </w:t>
      </w:r>
      <w:proofErr w:type="spellStart"/>
      <w:r w:rsidRPr="00706F7A">
        <w:rPr>
          <w:rFonts w:ascii="Calibri" w:hAnsi="Calibri" w:cs="Calibri"/>
          <w:b/>
          <w:bCs/>
          <w:sz w:val="22"/>
          <w:szCs w:val="22"/>
        </w:rPr>
        <w:t>Uw</w:t>
      </w:r>
      <w:proofErr w:type="spellEnd"/>
      <w:r w:rsidRPr="00706F7A">
        <w:rPr>
          <w:rFonts w:ascii="Calibri" w:hAnsi="Calibri" w:cs="Calibri"/>
          <w:b/>
          <w:bCs/>
          <w:sz w:val="22"/>
          <w:szCs w:val="22"/>
        </w:rPr>
        <w:t xml:space="preserve"> – punkt wyjścia, nie cel</w:t>
      </w:r>
    </w:p>
    <w:p w14:paraId="59C4D704"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lastRenderedPageBreak/>
        <w:t xml:space="preserve">Zgodnie z obowiązującymi w Polsce Warunkami Technicznymi WT 2021 maksymalna wartość współczynnika przenikania ciepła dla okien pionowych wynosi </w:t>
      </w:r>
      <w:proofErr w:type="spellStart"/>
      <w:r w:rsidRPr="00706F7A">
        <w:rPr>
          <w:rFonts w:ascii="Calibri" w:hAnsi="Calibri" w:cs="Calibri"/>
          <w:sz w:val="22"/>
          <w:szCs w:val="22"/>
        </w:rPr>
        <w:t>Uw</w:t>
      </w:r>
      <w:proofErr w:type="spellEnd"/>
      <w:r w:rsidRPr="00706F7A">
        <w:rPr>
          <w:rFonts w:ascii="Calibri" w:hAnsi="Calibri" w:cs="Calibri"/>
          <w:sz w:val="22"/>
          <w:szCs w:val="22"/>
        </w:rPr>
        <w:t xml:space="preserve"> ≤ 0,9 W/(m²K). W praktyce oznacza to, że okno spełnia minimalne wymagania prawne.</w:t>
      </w:r>
    </w:p>
    <w:p w14:paraId="6F798AB1"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 xml:space="preserve">W perspektywie 2026 roku coraz częściej mówi się jednak o standardach bliższych </w:t>
      </w:r>
      <w:proofErr w:type="spellStart"/>
      <w:r w:rsidRPr="00706F7A">
        <w:rPr>
          <w:rFonts w:ascii="Calibri" w:hAnsi="Calibri" w:cs="Calibri"/>
          <w:sz w:val="22"/>
          <w:szCs w:val="22"/>
        </w:rPr>
        <w:t>Uw</w:t>
      </w:r>
      <w:proofErr w:type="spellEnd"/>
      <w:r w:rsidRPr="00706F7A">
        <w:rPr>
          <w:rFonts w:ascii="Calibri" w:hAnsi="Calibri" w:cs="Calibri"/>
          <w:sz w:val="22"/>
          <w:szCs w:val="22"/>
        </w:rPr>
        <w:t xml:space="preserve"> 0,8 W/(m²K), a w budownictwie energooszczędnym – jeszcze niższych. Różnica pomiędzy oknem „zgodnym z normą” a oknem „przyszłościowym” przekłada się bezpośrednio na straty ciepła i zapotrzebowanie budynku na energię.</w:t>
      </w:r>
    </w:p>
    <w:p w14:paraId="24CAAB21" w14:textId="77777777" w:rsidR="00706F7A" w:rsidRPr="00706F7A" w:rsidRDefault="00706F7A" w:rsidP="00706F7A">
      <w:pPr>
        <w:spacing w:before="240" w:line="360" w:lineRule="auto"/>
        <w:jc w:val="both"/>
        <w:rPr>
          <w:rFonts w:ascii="Calibri" w:hAnsi="Calibri" w:cs="Calibri"/>
          <w:b/>
          <w:bCs/>
          <w:sz w:val="22"/>
          <w:szCs w:val="22"/>
        </w:rPr>
      </w:pPr>
      <w:proofErr w:type="spellStart"/>
      <w:r w:rsidRPr="00706F7A">
        <w:rPr>
          <w:rFonts w:ascii="Calibri" w:hAnsi="Calibri" w:cs="Calibri"/>
          <w:b/>
          <w:bCs/>
          <w:sz w:val="22"/>
          <w:szCs w:val="22"/>
        </w:rPr>
        <w:t>Ug</w:t>
      </w:r>
      <w:proofErr w:type="spellEnd"/>
      <w:r w:rsidRPr="00706F7A">
        <w:rPr>
          <w:rFonts w:ascii="Calibri" w:hAnsi="Calibri" w:cs="Calibri"/>
          <w:b/>
          <w:bCs/>
          <w:sz w:val="22"/>
          <w:szCs w:val="22"/>
        </w:rPr>
        <w:t xml:space="preserve"> i konstrukcja pakietu szybowego</w:t>
      </w:r>
    </w:p>
    <w:p w14:paraId="0E13CA03"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 xml:space="preserve">O izolacyjności decyduje nie tylko całe okno, ale też sama szyba. Pakiety trzyszybowe z powłokami niskoemisyjnymi i gazem szlachetnym osiągają dziś </w:t>
      </w:r>
      <w:proofErr w:type="spellStart"/>
      <w:r w:rsidRPr="00706F7A">
        <w:rPr>
          <w:rFonts w:ascii="Calibri" w:hAnsi="Calibri" w:cs="Calibri"/>
          <w:sz w:val="22"/>
          <w:szCs w:val="22"/>
        </w:rPr>
        <w:t>Ug</w:t>
      </w:r>
      <w:proofErr w:type="spellEnd"/>
      <w:r w:rsidRPr="00706F7A">
        <w:rPr>
          <w:rFonts w:ascii="Calibri" w:hAnsi="Calibri" w:cs="Calibri"/>
          <w:sz w:val="22"/>
          <w:szCs w:val="22"/>
        </w:rPr>
        <w:t xml:space="preserve"> na poziomie 0,5-0,6 W/(m²K). To rozwiązania, które realnie ograniczają ucieczkę ciepła zimą i stabilizują temperaturę wewnątrz budynku.</w:t>
      </w:r>
    </w:p>
    <w:p w14:paraId="28399155" w14:textId="77777777" w:rsidR="00706F7A" w:rsidRPr="00706F7A" w:rsidRDefault="00706F7A" w:rsidP="00706F7A">
      <w:pPr>
        <w:spacing w:before="240" w:line="360" w:lineRule="auto"/>
        <w:jc w:val="both"/>
        <w:rPr>
          <w:rFonts w:ascii="Calibri" w:hAnsi="Calibri" w:cs="Calibri"/>
          <w:b/>
          <w:bCs/>
          <w:sz w:val="22"/>
          <w:szCs w:val="22"/>
        </w:rPr>
      </w:pPr>
      <w:r w:rsidRPr="00706F7A">
        <w:rPr>
          <w:rFonts w:ascii="Calibri" w:hAnsi="Calibri" w:cs="Calibri"/>
          <w:b/>
          <w:bCs/>
          <w:sz w:val="22"/>
          <w:szCs w:val="22"/>
        </w:rPr>
        <w:t>Przepuszczalność energii słonecznej g</w:t>
      </w:r>
    </w:p>
    <w:p w14:paraId="43894537"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W nowoczesnym budownictwie okno nie tylko chroni przed stratami, ale też „zarządza” zyskami cieplnymi. Współczynnik g określa, ile energii słonecznej przedostaje się do wnętrza. Przepisy wymagają, by latem – przy zastosowaniu osłon – nie przekraczał on 0,35, co ma zapobiegać przegrzewaniu pomieszczeń.</w:t>
      </w:r>
    </w:p>
    <w:p w14:paraId="043138EF"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Dobrze dobrany pakiet szybowy pozwala pogodzić dwa cele: wykorzystać słońce zimą i ograniczyć jego wpływ latem.</w:t>
      </w:r>
    </w:p>
    <w:p w14:paraId="6F61D627" w14:textId="77777777" w:rsidR="00706F7A" w:rsidRPr="00706F7A" w:rsidRDefault="00706F7A" w:rsidP="00706F7A">
      <w:pPr>
        <w:spacing w:before="240" w:line="360" w:lineRule="auto"/>
        <w:jc w:val="both"/>
        <w:rPr>
          <w:rFonts w:ascii="Calibri" w:hAnsi="Calibri" w:cs="Calibri"/>
          <w:b/>
          <w:bCs/>
          <w:sz w:val="22"/>
          <w:szCs w:val="22"/>
        </w:rPr>
      </w:pPr>
      <w:r w:rsidRPr="00706F7A">
        <w:rPr>
          <w:rFonts w:ascii="Calibri" w:hAnsi="Calibri" w:cs="Calibri"/>
          <w:b/>
          <w:bCs/>
          <w:sz w:val="22"/>
          <w:szCs w:val="22"/>
        </w:rPr>
        <w:t>Szczelność i infiltracja powietrza</w:t>
      </w:r>
    </w:p>
    <w:p w14:paraId="17619241"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Wysoka izolacyjność nie ma sensu, jeśli okno nie jest szczelne. W budynkach z wentylacją mechaniczną dopuszczalna infiltracja powietrza jest znacznie niższa niż w starszych obiektach. Dlatego znaczenie ma klasa przepuszczalności powietrza oraz sposób montażu.</w:t>
      </w:r>
    </w:p>
    <w:p w14:paraId="1534734D"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 xml:space="preserve">– Zdarzają się sytuacje, w której inwestorzy wybierają bardzo dobre okno, ale tracą jego potencjał przez nieprawidłowy montaż. Tymczasem w przypadku okien energooszczędnych sam produkt to dopiero połowa sukcesu. Równie istotny jest sposób montażu, który decyduje o tym, czy deklarowane parametry będą faktycznie osiągane w budynku. Stosuje się tu montaż warstwowy, określany jako ciepły montaż – z wykorzystaniem trzech stref uszczelnienia. Zewnętrzna warstwa chroni izolację przed warunkami atmosferycznymi, środkowa odpowiada za izolacyjność termiczną, a wewnętrzna </w:t>
      </w:r>
      <w:r w:rsidRPr="00706F7A">
        <w:rPr>
          <w:rFonts w:ascii="Calibri" w:hAnsi="Calibri" w:cs="Calibri"/>
          <w:sz w:val="22"/>
          <w:szCs w:val="22"/>
        </w:rPr>
        <w:lastRenderedPageBreak/>
        <w:t>zabezpiecza przed wilgocią z wnętrza budynku. Takie rozwiązanie pozwala skutecznie wyeliminować mostki cieplne i realnie ograniczyć straty energii. – tłumaczy ekspert z OKNOPLAST.</w:t>
      </w:r>
    </w:p>
    <w:p w14:paraId="1838007B" w14:textId="77777777" w:rsidR="00706F7A" w:rsidRPr="00706F7A" w:rsidRDefault="00706F7A" w:rsidP="00706F7A">
      <w:pPr>
        <w:spacing w:before="240" w:line="360" w:lineRule="auto"/>
        <w:jc w:val="both"/>
        <w:rPr>
          <w:rFonts w:ascii="Calibri" w:hAnsi="Calibri" w:cs="Calibri"/>
          <w:b/>
          <w:bCs/>
          <w:sz w:val="22"/>
          <w:szCs w:val="22"/>
        </w:rPr>
      </w:pPr>
      <w:r w:rsidRPr="00706F7A">
        <w:rPr>
          <w:rFonts w:ascii="Calibri" w:hAnsi="Calibri" w:cs="Calibri"/>
          <w:b/>
          <w:bCs/>
          <w:sz w:val="22"/>
          <w:szCs w:val="22"/>
        </w:rPr>
        <w:t>2026: kierunek zmian, który warto uwzględnić już dziś</w:t>
      </w:r>
    </w:p>
    <w:p w14:paraId="3777284E"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Choć formalnie WT 2021 nadal obowiązują, rynek wyraźnie wyprzedza regulacje. Europejska polityka klimatyczna oraz założenia dotyczące budynków niemal zeroemisyjnych sprawiają, że parametry akceptowalne dziś za kilka lat mogą okazać się niewystarczające.</w:t>
      </w:r>
    </w:p>
    <w:p w14:paraId="715205F5"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Inwestorzy, którzy planują wymianę okien w 2026 roku, coraz częściej stawiają na rozwiązania:</w:t>
      </w:r>
    </w:p>
    <w:p w14:paraId="72BB8F19"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w:t>
      </w:r>
      <w:r w:rsidRPr="00706F7A">
        <w:rPr>
          <w:rFonts w:ascii="Calibri" w:hAnsi="Calibri" w:cs="Calibri"/>
          <w:sz w:val="22"/>
          <w:szCs w:val="22"/>
        </w:rPr>
        <w:tab/>
        <w:t xml:space="preserve">o </w:t>
      </w:r>
      <w:proofErr w:type="spellStart"/>
      <w:r w:rsidRPr="00706F7A">
        <w:rPr>
          <w:rFonts w:ascii="Calibri" w:hAnsi="Calibri" w:cs="Calibri"/>
          <w:sz w:val="22"/>
          <w:szCs w:val="22"/>
        </w:rPr>
        <w:t>Uw</w:t>
      </w:r>
      <w:proofErr w:type="spellEnd"/>
      <w:r w:rsidRPr="00706F7A">
        <w:rPr>
          <w:rFonts w:ascii="Calibri" w:hAnsi="Calibri" w:cs="Calibri"/>
          <w:sz w:val="22"/>
          <w:szCs w:val="22"/>
        </w:rPr>
        <w:t xml:space="preserve"> niższym niż wymagane minimum,</w:t>
      </w:r>
    </w:p>
    <w:p w14:paraId="206D9F1B"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w:t>
      </w:r>
      <w:r w:rsidRPr="00706F7A">
        <w:rPr>
          <w:rFonts w:ascii="Calibri" w:hAnsi="Calibri" w:cs="Calibri"/>
          <w:sz w:val="22"/>
          <w:szCs w:val="22"/>
        </w:rPr>
        <w:tab/>
        <w:t>z pakietami trzyszybowymi jako standardem,</w:t>
      </w:r>
    </w:p>
    <w:p w14:paraId="287D8D60"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w:t>
      </w:r>
      <w:r w:rsidRPr="00706F7A">
        <w:rPr>
          <w:rFonts w:ascii="Calibri" w:hAnsi="Calibri" w:cs="Calibri"/>
          <w:sz w:val="22"/>
          <w:szCs w:val="22"/>
        </w:rPr>
        <w:tab/>
        <w:t>przygotowane do współpracy z wentylacją mechaniczną i systemami osłon przeciwsłonecznych.</w:t>
      </w:r>
    </w:p>
    <w:p w14:paraId="73A5690C" w14:textId="77777777"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To podejście, które nie tylko poprawia komfort, ale też zwiększa wartość nieruchomości i ogranicza ryzyko kosztownych modernizacji w przyszłości.</w:t>
      </w:r>
    </w:p>
    <w:p w14:paraId="2BBBF503" w14:textId="77777777" w:rsidR="00706F7A" w:rsidRPr="00706F7A" w:rsidRDefault="00706F7A" w:rsidP="00706F7A">
      <w:pPr>
        <w:spacing w:before="240" w:line="360" w:lineRule="auto"/>
        <w:jc w:val="both"/>
        <w:rPr>
          <w:rFonts w:ascii="Calibri" w:hAnsi="Calibri" w:cs="Calibri"/>
          <w:b/>
          <w:bCs/>
          <w:sz w:val="22"/>
          <w:szCs w:val="22"/>
        </w:rPr>
      </w:pPr>
      <w:r w:rsidRPr="00706F7A">
        <w:rPr>
          <w:rFonts w:ascii="Calibri" w:hAnsi="Calibri" w:cs="Calibri"/>
          <w:b/>
          <w:bCs/>
          <w:sz w:val="22"/>
          <w:szCs w:val="22"/>
        </w:rPr>
        <w:t xml:space="preserve">Co sprawdzić przed podjęciem decyzji? Krótka </w:t>
      </w:r>
      <w:proofErr w:type="spellStart"/>
      <w:r w:rsidRPr="00706F7A">
        <w:rPr>
          <w:rFonts w:ascii="Calibri" w:hAnsi="Calibri" w:cs="Calibri"/>
          <w:b/>
          <w:bCs/>
          <w:sz w:val="22"/>
          <w:szCs w:val="22"/>
        </w:rPr>
        <w:t>checklista</w:t>
      </w:r>
      <w:proofErr w:type="spellEnd"/>
      <w:r w:rsidRPr="00706F7A">
        <w:rPr>
          <w:rFonts w:ascii="Calibri" w:hAnsi="Calibri" w:cs="Calibri"/>
          <w:b/>
          <w:bCs/>
          <w:sz w:val="22"/>
          <w:szCs w:val="22"/>
        </w:rPr>
        <w:t xml:space="preserve"> inwestora</w:t>
      </w:r>
    </w:p>
    <w:p w14:paraId="64B32D1C" w14:textId="2FC7DC51"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1.</w:t>
      </w:r>
      <w:r>
        <w:rPr>
          <w:rFonts w:ascii="Calibri" w:hAnsi="Calibri" w:cs="Calibri"/>
          <w:sz w:val="22"/>
          <w:szCs w:val="22"/>
        </w:rPr>
        <w:t xml:space="preserve"> </w:t>
      </w:r>
      <w:r w:rsidRPr="00706F7A">
        <w:rPr>
          <w:rFonts w:ascii="Calibri" w:hAnsi="Calibri" w:cs="Calibri"/>
          <w:sz w:val="22"/>
          <w:szCs w:val="22"/>
        </w:rPr>
        <w:t xml:space="preserve">Czy wskaźnik </w:t>
      </w:r>
      <w:proofErr w:type="spellStart"/>
      <w:r w:rsidRPr="00706F7A">
        <w:rPr>
          <w:rFonts w:ascii="Calibri" w:hAnsi="Calibri" w:cs="Calibri"/>
          <w:sz w:val="22"/>
          <w:szCs w:val="22"/>
        </w:rPr>
        <w:t>Uw</w:t>
      </w:r>
      <w:proofErr w:type="spellEnd"/>
      <w:r w:rsidRPr="00706F7A">
        <w:rPr>
          <w:rFonts w:ascii="Calibri" w:hAnsi="Calibri" w:cs="Calibri"/>
          <w:sz w:val="22"/>
          <w:szCs w:val="22"/>
        </w:rPr>
        <w:t xml:space="preserve"> okna spełnia nie tylko obecne normy, ale też sprawdzi się w perspektywie kolejnych lat?</w:t>
      </w:r>
    </w:p>
    <w:p w14:paraId="48D66DC7" w14:textId="5C029F0A"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2.</w:t>
      </w:r>
      <w:r>
        <w:rPr>
          <w:rFonts w:ascii="Calibri" w:hAnsi="Calibri" w:cs="Calibri"/>
          <w:sz w:val="22"/>
          <w:szCs w:val="22"/>
        </w:rPr>
        <w:t xml:space="preserve"> </w:t>
      </w:r>
      <w:r w:rsidRPr="00706F7A">
        <w:rPr>
          <w:rFonts w:ascii="Calibri" w:hAnsi="Calibri" w:cs="Calibri"/>
          <w:sz w:val="22"/>
          <w:szCs w:val="22"/>
        </w:rPr>
        <w:t xml:space="preserve">Jaki pakiet szybowy zastosowano i jakie ma </w:t>
      </w:r>
      <w:proofErr w:type="spellStart"/>
      <w:r w:rsidRPr="00706F7A">
        <w:rPr>
          <w:rFonts w:ascii="Calibri" w:hAnsi="Calibri" w:cs="Calibri"/>
          <w:sz w:val="22"/>
          <w:szCs w:val="22"/>
        </w:rPr>
        <w:t>Ug</w:t>
      </w:r>
      <w:proofErr w:type="spellEnd"/>
      <w:r w:rsidRPr="00706F7A">
        <w:rPr>
          <w:rFonts w:ascii="Calibri" w:hAnsi="Calibri" w:cs="Calibri"/>
          <w:sz w:val="22"/>
          <w:szCs w:val="22"/>
        </w:rPr>
        <w:t>?</w:t>
      </w:r>
    </w:p>
    <w:p w14:paraId="653E46A1" w14:textId="62B494D2"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3.</w:t>
      </w:r>
      <w:r>
        <w:rPr>
          <w:rFonts w:ascii="Calibri" w:hAnsi="Calibri" w:cs="Calibri"/>
          <w:sz w:val="22"/>
          <w:szCs w:val="22"/>
        </w:rPr>
        <w:t xml:space="preserve"> </w:t>
      </w:r>
      <w:r w:rsidRPr="00706F7A">
        <w:rPr>
          <w:rFonts w:ascii="Calibri" w:hAnsi="Calibri" w:cs="Calibri"/>
          <w:sz w:val="22"/>
          <w:szCs w:val="22"/>
        </w:rPr>
        <w:t>Czy współczynnik g pozwala kontrolować zyski słoneczne latem?</w:t>
      </w:r>
    </w:p>
    <w:p w14:paraId="21287870" w14:textId="4DE1E4F3"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4.</w:t>
      </w:r>
      <w:r>
        <w:rPr>
          <w:rFonts w:ascii="Calibri" w:hAnsi="Calibri" w:cs="Calibri"/>
          <w:sz w:val="22"/>
          <w:szCs w:val="22"/>
        </w:rPr>
        <w:t xml:space="preserve"> </w:t>
      </w:r>
      <w:r w:rsidRPr="00706F7A">
        <w:rPr>
          <w:rFonts w:ascii="Calibri" w:hAnsi="Calibri" w:cs="Calibri"/>
          <w:sz w:val="22"/>
          <w:szCs w:val="22"/>
        </w:rPr>
        <w:t>Jaką klasę szczelności ma okno i jaki montaż jest przewidziany?</w:t>
      </w:r>
    </w:p>
    <w:p w14:paraId="28A13462" w14:textId="548DFF42" w:rsidR="00706F7A" w:rsidRPr="00706F7A" w:rsidRDefault="00706F7A" w:rsidP="00706F7A">
      <w:pPr>
        <w:spacing w:before="240" w:line="360" w:lineRule="auto"/>
        <w:jc w:val="both"/>
        <w:rPr>
          <w:rFonts w:ascii="Calibri" w:hAnsi="Calibri" w:cs="Calibri"/>
          <w:sz w:val="22"/>
          <w:szCs w:val="22"/>
        </w:rPr>
      </w:pPr>
      <w:r w:rsidRPr="00706F7A">
        <w:rPr>
          <w:rFonts w:ascii="Calibri" w:hAnsi="Calibri" w:cs="Calibri"/>
          <w:sz w:val="22"/>
          <w:szCs w:val="22"/>
        </w:rPr>
        <w:t>5.</w:t>
      </w:r>
      <w:r>
        <w:rPr>
          <w:rFonts w:ascii="Calibri" w:hAnsi="Calibri" w:cs="Calibri"/>
          <w:sz w:val="22"/>
          <w:szCs w:val="22"/>
        </w:rPr>
        <w:t xml:space="preserve"> </w:t>
      </w:r>
      <w:r w:rsidRPr="00706F7A">
        <w:rPr>
          <w:rFonts w:ascii="Calibri" w:hAnsi="Calibri" w:cs="Calibri"/>
          <w:sz w:val="22"/>
          <w:szCs w:val="22"/>
        </w:rPr>
        <w:t>Czy rozwiązanie pasuje do planowanej modernizacji całego budynku, a nie tylko jednego elementu?</w:t>
      </w:r>
    </w:p>
    <w:p w14:paraId="4B636952" w14:textId="77777777" w:rsidR="00706F7A" w:rsidRPr="00706F7A" w:rsidRDefault="00706F7A" w:rsidP="00706F7A">
      <w:pPr>
        <w:spacing w:before="240" w:line="360" w:lineRule="auto"/>
        <w:jc w:val="both"/>
        <w:rPr>
          <w:rFonts w:ascii="Calibri" w:hAnsi="Calibri" w:cs="Calibri"/>
          <w:b/>
          <w:bCs/>
          <w:sz w:val="22"/>
          <w:szCs w:val="22"/>
        </w:rPr>
      </w:pPr>
      <w:r w:rsidRPr="00706F7A">
        <w:rPr>
          <w:rFonts w:ascii="Calibri" w:hAnsi="Calibri" w:cs="Calibri"/>
          <w:b/>
          <w:bCs/>
          <w:sz w:val="22"/>
          <w:szCs w:val="22"/>
        </w:rPr>
        <w:t>Planowanie z wyprzedzeniem się opłaca</w:t>
      </w:r>
    </w:p>
    <w:p w14:paraId="7047B702" w14:textId="66866A8E" w:rsidR="00706F7A" w:rsidRPr="00706F7A" w:rsidRDefault="00706F7A" w:rsidP="00145E08">
      <w:pPr>
        <w:spacing w:before="240" w:line="360" w:lineRule="auto"/>
        <w:jc w:val="both"/>
        <w:rPr>
          <w:rFonts w:ascii="Calibri" w:hAnsi="Calibri" w:cs="Calibri"/>
          <w:sz w:val="22"/>
          <w:szCs w:val="22"/>
        </w:rPr>
      </w:pPr>
      <w:r w:rsidRPr="00706F7A">
        <w:rPr>
          <w:rFonts w:ascii="Calibri" w:hAnsi="Calibri" w:cs="Calibri"/>
          <w:sz w:val="22"/>
          <w:szCs w:val="22"/>
        </w:rPr>
        <w:t>Wymiana okien to decyzja na dekady. Dlatego styczeń – jako moment spokojnego planowania i analizy – daje realną przewagę nad działaniem pod presją sezonu remontowego. Wybór stolarki o parametrach dostosowanych do standardów 2026 roku to dziś nie koszt, ale inwestycja w stabilność energetyczną budynku. Warto pamiętać, że świadome decyzje podjęte na początku roku procentują nie tylko wtedy, gdy zaczyna się sezon budowlany, ale także przez wiele lat po zakończonym remoncie.</w:t>
      </w:r>
    </w:p>
    <w:p w14:paraId="12516E2D" w14:textId="05C84D3C" w:rsidR="00B31943" w:rsidRPr="00907CDC" w:rsidRDefault="00B31943" w:rsidP="00145E08">
      <w:pPr>
        <w:spacing w:before="240" w:line="360" w:lineRule="auto"/>
        <w:jc w:val="both"/>
        <w:rPr>
          <w:rFonts w:ascii="Calibri" w:hAnsi="Calibri" w:cs="Calibri"/>
          <w:sz w:val="22"/>
          <w:szCs w:val="22"/>
        </w:rPr>
      </w:pPr>
      <w:r w:rsidRPr="00907CDC">
        <w:rPr>
          <w:rFonts w:ascii="Calibri" w:hAnsi="Calibri" w:cs="Calibri"/>
          <w:sz w:val="22"/>
          <w:szCs w:val="22"/>
        </w:rPr>
        <w:lastRenderedPageBreak/>
        <w:t>--------------------------------------------------------------------------------------------------------------------------</w:t>
      </w:r>
    </w:p>
    <w:p w14:paraId="58FC741C" w14:textId="77777777" w:rsidR="00B31943" w:rsidRDefault="00B31943" w:rsidP="00245B0D">
      <w:pPr>
        <w:spacing w:before="240" w:line="360" w:lineRule="auto"/>
        <w:jc w:val="both"/>
        <w:rPr>
          <w:rFonts w:ascii="Calibri" w:hAnsi="Calibri" w:cs="Calibri"/>
          <w:b/>
          <w:bCs/>
          <w:sz w:val="22"/>
          <w:szCs w:val="22"/>
        </w:rPr>
      </w:pPr>
      <w:r w:rsidRPr="00907CDC">
        <w:rPr>
          <w:rFonts w:ascii="Calibri" w:hAnsi="Calibri" w:cs="Calibri"/>
          <w:b/>
          <w:bCs/>
          <w:sz w:val="22"/>
          <w:szCs w:val="22"/>
        </w:rPr>
        <w:t>Kontakt dla mediów</w:t>
      </w:r>
    </w:p>
    <w:p w14:paraId="626F1106" w14:textId="77777777" w:rsidR="00907CDC" w:rsidRPr="00907CDC" w:rsidRDefault="00907CDC" w:rsidP="00245B0D">
      <w:pPr>
        <w:spacing w:before="240" w:line="360" w:lineRule="auto"/>
        <w:jc w:val="both"/>
        <w:rPr>
          <w:rFonts w:ascii="Calibri" w:hAnsi="Calibri" w:cs="Calibri"/>
          <w:sz w:val="22"/>
          <w:szCs w:val="22"/>
        </w:rPr>
      </w:pPr>
      <w:r w:rsidRPr="00907CDC">
        <w:rPr>
          <w:rFonts w:ascii="Calibri" w:hAnsi="Calibri" w:cs="Calibri"/>
          <w:sz w:val="22"/>
          <w:szCs w:val="22"/>
        </w:rPr>
        <w:t xml:space="preserve">Patrycja Ogrodnik </w:t>
      </w:r>
    </w:p>
    <w:p w14:paraId="59ED02BF" w14:textId="77777777" w:rsidR="00907CDC" w:rsidRPr="00907CDC" w:rsidRDefault="00907CDC" w:rsidP="00245B0D">
      <w:pPr>
        <w:spacing w:before="240" w:line="360" w:lineRule="auto"/>
        <w:jc w:val="both"/>
        <w:rPr>
          <w:rFonts w:ascii="Calibri" w:hAnsi="Calibri" w:cs="Calibri"/>
          <w:sz w:val="22"/>
          <w:szCs w:val="22"/>
        </w:rPr>
      </w:pPr>
      <w:r w:rsidRPr="00907CDC">
        <w:rPr>
          <w:rFonts w:ascii="Calibri" w:hAnsi="Calibri" w:cs="Calibri"/>
          <w:sz w:val="22"/>
          <w:szCs w:val="22"/>
        </w:rPr>
        <w:t>PR Manager</w:t>
      </w:r>
    </w:p>
    <w:p w14:paraId="748F44FB" w14:textId="77777777" w:rsidR="00907CDC" w:rsidRPr="00907CDC" w:rsidRDefault="00907CDC" w:rsidP="00245B0D">
      <w:pPr>
        <w:spacing w:before="240" w:line="360" w:lineRule="auto"/>
        <w:jc w:val="both"/>
        <w:rPr>
          <w:rFonts w:ascii="Calibri" w:hAnsi="Calibri" w:cs="Calibri"/>
          <w:sz w:val="22"/>
          <w:szCs w:val="22"/>
        </w:rPr>
      </w:pPr>
      <w:hyperlink r:id="rId8" w:history="1">
        <w:r w:rsidRPr="00907CDC">
          <w:rPr>
            <w:rStyle w:val="Hipercze"/>
            <w:rFonts w:ascii="Calibri" w:hAnsi="Calibri" w:cs="Calibri"/>
            <w:color w:val="auto"/>
            <w:sz w:val="22"/>
            <w:szCs w:val="22"/>
          </w:rPr>
          <w:t>p.ogrodnik@commplace.com.pl</w:t>
        </w:r>
      </w:hyperlink>
    </w:p>
    <w:p w14:paraId="37564B18" w14:textId="7B75ABA8" w:rsidR="00907CDC" w:rsidRPr="00907CDC" w:rsidRDefault="00907CDC" w:rsidP="00245B0D">
      <w:pPr>
        <w:spacing w:before="240" w:line="360" w:lineRule="auto"/>
        <w:jc w:val="both"/>
        <w:rPr>
          <w:rFonts w:ascii="Calibri" w:hAnsi="Calibri" w:cs="Calibri"/>
          <w:sz w:val="22"/>
          <w:szCs w:val="22"/>
        </w:rPr>
      </w:pPr>
      <w:r w:rsidRPr="00907CDC">
        <w:rPr>
          <w:rFonts w:ascii="Calibri" w:hAnsi="Calibri" w:cs="Calibri"/>
          <w:sz w:val="22"/>
          <w:szCs w:val="22"/>
        </w:rPr>
        <w:t>tel. 692 333</w:t>
      </w:r>
      <w:r>
        <w:rPr>
          <w:rFonts w:ascii="Calibri" w:hAnsi="Calibri" w:cs="Calibri"/>
          <w:sz w:val="22"/>
          <w:szCs w:val="22"/>
        </w:rPr>
        <w:t> </w:t>
      </w:r>
      <w:r w:rsidRPr="00907CDC">
        <w:rPr>
          <w:rFonts w:ascii="Calibri" w:hAnsi="Calibri" w:cs="Calibri"/>
          <w:sz w:val="22"/>
          <w:szCs w:val="22"/>
        </w:rPr>
        <w:t>175</w:t>
      </w:r>
    </w:p>
    <w:p w14:paraId="5B2BFE37" w14:textId="77777777" w:rsidR="00907CDC" w:rsidRDefault="00907CDC" w:rsidP="00245B0D">
      <w:pPr>
        <w:spacing w:before="240" w:line="360" w:lineRule="auto"/>
        <w:jc w:val="both"/>
        <w:rPr>
          <w:rFonts w:ascii="Calibri" w:hAnsi="Calibri" w:cs="Calibri"/>
          <w:b/>
          <w:bCs/>
          <w:sz w:val="22"/>
          <w:szCs w:val="22"/>
        </w:rPr>
      </w:pPr>
    </w:p>
    <w:p w14:paraId="264FE774" w14:textId="77777777" w:rsidR="00907CDC" w:rsidRPr="00907CDC" w:rsidRDefault="00907CDC" w:rsidP="00245B0D">
      <w:pPr>
        <w:spacing w:before="240" w:line="360" w:lineRule="auto"/>
        <w:jc w:val="both"/>
        <w:rPr>
          <w:rFonts w:ascii="Calibri" w:hAnsi="Calibri" w:cs="Calibri"/>
          <w:b/>
          <w:bCs/>
          <w:sz w:val="22"/>
          <w:szCs w:val="22"/>
        </w:rPr>
      </w:pPr>
    </w:p>
    <w:tbl>
      <w:tblPr>
        <w:tblW w:w="0" w:type="auto"/>
        <w:tblCellMar>
          <w:left w:w="0" w:type="dxa"/>
          <w:right w:w="0" w:type="dxa"/>
        </w:tblCellMar>
        <w:tblLook w:val="04A0" w:firstRow="1" w:lastRow="0" w:firstColumn="1" w:lastColumn="0" w:noHBand="0" w:noVBand="1"/>
      </w:tblPr>
      <w:tblGrid>
        <w:gridCol w:w="9072"/>
      </w:tblGrid>
      <w:tr w:rsidR="00907CDC" w:rsidRPr="00907CDC" w14:paraId="74453079" w14:textId="77777777" w:rsidTr="00914D9C">
        <w:trPr>
          <w:trHeight w:val="1191"/>
        </w:trPr>
        <w:tc>
          <w:tcPr>
            <w:tcW w:w="14359" w:type="dxa"/>
            <w:hideMark/>
          </w:tcPr>
          <w:p w14:paraId="0BE5DAD8" w14:textId="77777777" w:rsidR="00914D9C" w:rsidRPr="00907CDC" w:rsidRDefault="00914D9C" w:rsidP="00245B0D">
            <w:pPr>
              <w:pStyle w:val="xmsonormal"/>
              <w:spacing w:before="240" w:beforeAutospacing="0" w:after="240" w:afterAutospacing="0"/>
              <w:rPr>
                <w:rFonts w:ascii="Helvetica Neue" w:hAnsi="Helvetica Neue"/>
                <w:sz w:val="20"/>
                <w:szCs w:val="20"/>
              </w:rPr>
            </w:pPr>
            <w:r w:rsidRPr="00907CDC">
              <w:rPr>
                <w:rFonts w:ascii="Helvetica Neue" w:hAnsi="Helvetica Neue"/>
                <w:b/>
                <w:bCs/>
                <w:sz w:val="20"/>
                <w:szCs w:val="20"/>
              </w:rPr>
              <w:t>Zuzanna Dyba</w:t>
            </w:r>
          </w:p>
          <w:p w14:paraId="0C0940CD" w14:textId="77777777" w:rsidR="00914D9C" w:rsidRPr="00907CDC" w:rsidRDefault="00914D9C" w:rsidP="00245B0D">
            <w:pPr>
              <w:pStyle w:val="xmsonormal"/>
              <w:spacing w:before="240" w:beforeAutospacing="0" w:after="240" w:afterAutospacing="0"/>
              <w:rPr>
                <w:rFonts w:ascii="Helvetica Neue" w:hAnsi="Helvetica Neue"/>
                <w:sz w:val="20"/>
                <w:szCs w:val="20"/>
              </w:rPr>
            </w:pPr>
            <w:r w:rsidRPr="00907CDC">
              <w:rPr>
                <w:rFonts w:ascii="Helvetica Neue" w:hAnsi="Helvetica Neue"/>
                <w:sz w:val="20"/>
                <w:szCs w:val="20"/>
              </w:rPr>
              <w:t>Specjalista ds.PR</w:t>
            </w:r>
          </w:p>
          <w:p w14:paraId="5A07B204" w14:textId="77777777" w:rsidR="00914D9C" w:rsidRPr="00907CDC" w:rsidRDefault="00914D9C" w:rsidP="00245B0D">
            <w:pPr>
              <w:pStyle w:val="xmsonormal"/>
              <w:spacing w:before="240" w:beforeAutospacing="0" w:after="240" w:afterAutospacing="0"/>
              <w:rPr>
                <w:rFonts w:ascii="Helvetica Neue" w:hAnsi="Helvetica Neue"/>
                <w:sz w:val="20"/>
                <w:szCs w:val="20"/>
              </w:rPr>
            </w:pPr>
            <w:r w:rsidRPr="00907CDC">
              <w:rPr>
                <w:rFonts w:ascii="Helvetica Neue" w:hAnsi="Helvetica Neue"/>
                <w:sz w:val="20"/>
                <w:szCs w:val="20"/>
              </w:rPr>
              <w:t>+48 666 870 580</w:t>
            </w:r>
          </w:p>
        </w:tc>
      </w:tr>
      <w:tr w:rsidR="00914D9C" w:rsidRPr="00907CDC" w14:paraId="3F17CFC5" w14:textId="77777777" w:rsidTr="00914D9C">
        <w:trPr>
          <w:trHeight w:val="854"/>
        </w:trPr>
        <w:tc>
          <w:tcPr>
            <w:tcW w:w="14359" w:type="dxa"/>
            <w:hideMark/>
          </w:tcPr>
          <w:p w14:paraId="1D6176D0" w14:textId="77777777" w:rsidR="00914D9C" w:rsidRPr="00907CDC" w:rsidRDefault="00914D9C" w:rsidP="00245B0D">
            <w:pPr>
              <w:pStyle w:val="xmsonormal"/>
              <w:spacing w:before="240" w:beforeAutospacing="0" w:after="240" w:afterAutospacing="0"/>
              <w:rPr>
                <w:rFonts w:ascii="Helvetica Neue" w:hAnsi="Helvetica Neue"/>
                <w:sz w:val="20"/>
                <w:szCs w:val="20"/>
              </w:rPr>
            </w:pPr>
            <w:hyperlink r:id="rId9" w:tgtFrame="_blank" w:history="1">
              <w:r w:rsidRPr="00907CDC">
                <w:rPr>
                  <w:rStyle w:val="Hipercze"/>
                  <w:rFonts w:ascii="Helvetica Neue" w:hAnsi="Helvetica Neue"/>
                  <w:color w:val="auto"/>
                  <w:sz w:val="20"/>
                  <w:szCs w:val="20"/>
                </w:rPr>
                <w:t>Z.Dyba@oknoplast.com.pl</w:t>
              </w:r>
            </w:hyperlink>
          </w:p>
        </w:tc>
      </w:tr>
    </w:tbl>
    <w:p w14:paraId="4358FC01" w14:textId="77777777" w:rsidR="00914D9C" w:rsidRPr="00907CDC" w:rsidRDefault="00914D9C" w:rsidP="00245B0D">
      <w:pPr>
        <w:spacing w:before="240" w:line="360" w:lineRule="auto"/>
        <w:jc w:val="both"/>
        <w:rPr>
          <w:rFonts w:ascii="Calibri" w:hAnsi="Calibri" w:cs="Calibri"/>
          <w:sz w:val="22"/>
          <w:szCs w:val="22"/>
        </w:rPr>
      </w:pPr>
    </w:p>
    <w:p w14:paraId="6B9AEDBE" w14:textId="77777777" w:rsidR="00914D9C" w:rsidRPr="00907CDC" w:rsidRDefault="00914D9C" w:rsidP="00245B0D">
      <w:pPr>
        <w:spacing w:before="240" w:line="360" w:lineRule="auto"/>
        <w:jc w:val="both"/>
        <w:rPr>
          <w:rFonts w:ascii="Calibri" w:hAnsi="Calibri" w:cs="Calibri"/>
          <w:sz w:val="22"/>
          <w:szCs w:val="22"/>
        </w:rPr>
      </w:pPr>
    </w:p>
    <w:sectPr w:rsidR="00914D9C" w:rsidRPr="00907CDC">
      <w:headerReference w:type="default" r:id="rId10"/>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DDF47" w14:textId="77777777" w:rsidR="00A913BC" w:rsidRDefault="00A913BC">
      <w:r>
        <w:separator/>
      </w:r>
    </w:p>
  </w:endnote>
  <w:endnote w:type="continuationSeparator" w:id="0">
    <w:p w14:paraId="15AC775D" w14:textId="77777777" w:rsidR="00A913BC" w:rsidRDefault="00A91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EA8BE" w14:textId="77777777" w:rsidR="00A913BC" w:rsidRDefault="00A913BC">
      <w:r>
        <w:separator/>
      </w:r>
    </w:p>
  </w:footnote>
  <w:footnote w:type="continuationSeparator" w:id="0">
    <w:p w14:paraId="6CF1957E" w14:textId="77777777" w:rsidR="00A913BC" w:rsidRDefault="00A91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C389187" w:rsidR="00B35CB7" w:rsidRDefault="00E7739A">
    <w:pPr>
      <w:tabs>
        <w:tab w:val="center" w:pos="4536"/>
        <w:tab w:val="right" w:pos="9072"/>
      </w:tabs>
    </w:pPr>
    <w:r>
      <w:rPr>
        <w:noProof/>
      </w:rPr>
      <w:drawing>
        <wp:inline distT="0" distB="0" distL="0" distR="0" wp14:anchorId="6133BEA9" wp14:editId="163C161A">
          <wp:extent cx="1464990" cy="393700"/>
          <wp:effectExtent l="0" t="0" r="0" b="0"/>
          <wp:docPr id="7512834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83403" name="Obraz 751283403"/>
                  <pic:cNvPicPr/>
                </pic:nvPicPr>
                <pic:blipFill>
                  <a:blip r:embed="rId1">
                    <a:extLst>
                      <a:ext uri="{28A0092B-C50C-407E-A947-70E740481C1C}">
                        <a14:useLocalDpi xmlns:a14="http://schemas.microsoft.com/office/drawing/2010/main" val="0"/>
                      </a:ext>
                    </a:extLst>
                  </a:blip>
                  <a:stretch>
                    <a:fillRect/>
                  </a:stretch>
                </pic:blipFill>
                <pic:spPr>
                  <a:xfrm>
                    <a:off x="0" y="0"/>
                    <a:ext cx="1473452" cy="3959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36CA4C4A"/>
    <w:lvl w:ilvl="0">
      <w:start w:val="1"/>
      <w:numFmt w:val="decimal"/>
      <w:lvlText w:val="%1."/>
      <w:lvlJc w:val="left"/>
      <w:pPr>
        <w:ind w:left="720" w:hanging="360"/>
      </w:pPr>
      <w:rPr>
        <w:rFonts w:asciiTheme="minorHAnsi" w:eastAsiaTheme="minorHAnsi" w:hAnsiTheme="minorHAnsi" w:cstheme="minorBidi"/>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10AB34D2"/>
    <w:multiLevelType w:val="hybridMultilevel"/>
    <w:tmpl w:val="1E6A2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C366ED"/>
    <w:multiLevelType w:val="hybridMultilevel"/>
    <w:tmpl w:val="9BE2C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2B52ED3"/>
    <w:multiLevelType w:val="hybridMultilevel"/>
    <w:tmpl w:val="221853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0DB01F3"/>
    <w:multiLevelType w:val="hybridMultilevel"/>
    <w:tmpl w:val="FE6860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4124CA0"/>
    <w:multiLevelType w:val="hybridMultilevel"/>
    <w:tmpl w:val="C4A6C064"/>
    <w:lvl w:ilvl="0" w:tplc="04150001">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6"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A770267"/>
    <w:multiLevelType w:val="hybridMultilevel"/>
    <w:tmpl w:val="BAE099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2403765"/>
    <w:multiLevelType w:val="hybridMultilevel"/>
    <w:tmpl w:val="C4160E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1607D3C"/>
    <w:multiLevelType w:val="hybridMultilevel"/>
    <w:tmpl w:val="9A02D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69D142DF"/>
    <w:multiLevelType w:val="hybridMultilevel"/>
    <w:tmpl w:val="34FC21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6E4F19F5"/>
    <w:multiLevelType w:val="hybridMultilevel"/>
    <w:tmpl w:val="03C4C4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FE67D5E"/>
    <w:multiLevelType w:val="hybridMultilevel"/>
    <w:tmpl w:val="ABBE1E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18936340">
    <w:abstractNumId w:val="6"/>
  </w:num>
  <w:num w:numId="2" w16cid:durableId="1013998031">
    <w:abstractNumId w:val="12"/>
  </w:num>
  <w:num w:numId="3" w16cid:durableId="1093742402">
    <w:abstractNumId w:val="4"/>
  </w:num>
  <w:num w:numId="4" w16cid:durableId="755131662">
    <w:abstractNumId w:val="1"/>
  </w:num>
  <w:num w:numId="5" w16cid:durableId="1419788756">
    <w:abstractNumId w:val="5"/>
  </w:num>
  <w:num w:numId="6" w16cid:durableId="932893">
    <w:abstractNumId w:val="8"/>
  </w:num>
  <w:num w:numId="7" w16cid:durableId="183524104">
    <w:abstractNumId w:val="0"/>
  </w:num>
  <w:num w:numId="8" w16cid:durableId="1966504423">
    <w:abstractNumId w:val="10"/>
  </w:num>
  <w:num w:numId="9" w16cid:durableId="849950472">
    <w:abstractNumId w:val="11"/>
  </w:num>
  <w:num w:numId="10" w16cid:durableId="1549685444">
    <w:abstractNumId w:val="9"/>
  </w:num>
  <w:num w:numId="11" w16cid:durableId="1049690849">
    <w:abstractNumId w:val="2"/>
  </w:num>
  <w:num w:numId="12" w16cid:durableId="976683271">
    <w:abstractNumId w:val="3"/>
  </w:num>
  <w:num w:numId="13" w16cid:durableId="15903075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1F31"/>
    <w:rsid w:val="0000748A"/>
    <w:rsid w:val="000158FB"/>
    <w:rsid w:val="000227ED"/>
    <w:rsid w:val="00022B44"/>
    <w:rsid w:val="00053D72"/>
    <w:rsid w:val="00056E57"/>
    <w:rsid w:val="00057D08"/>
    <w:rsid w:val="000700D7"/>
    <w:rsid w:val="0007166F"/>
    <w:rsid w:val="00077089"/>
    <w:rsid w:val="000917FE"/>
    <w:rsid w:val="000A72E0"/>
    <w:rsid w:val="000A7EFA"/>
    <w:rsid w:val="000B0E86"/>
    <w:rsid w:val="000B4D81"/>
    <w:rsid w:val="000C0401"/>
    <w:rsid w:val="000E1AD0"/>
    <w:rsid w:val="000E46F7"/>
    <w:rsid w:val="000E7AEB"/>
    <w:rsid w:val="00116976"/>
    <w:rsid w:val="0014397C"/>
    <w:rsid w:val="0014500C"/>
    <w:rsid w:val="00145E08"/>
    <w:rsid w:val="00147C9A"/>
    <w:rsid w:val="001550A6"/>
    <w:rsid w:val="00166AAF"/>
    <w:rsid w:val="00172021"/>
    <w:rsid w:val="00186D73"/>
    <w:rsid w:val="001A58CD"/>
    <w:rsid w:val="001A7E06"/>
    <w:rsid w:val="001B0F64"/>
    <w:rsid w:val="001D0A18"/>
    <w:rsid w:val="001E4C73"/>
    <w:rsid w:val="001F3900"/>
    <w:rsid w:val="00211018"/>
    <w:rsid w:val="00221A74"/>
    <w:rsid w:val="00223B9B"/>
    <w:rsid w:val="002256B5"/>
    <w:rsid w:val="0023191A"/>
    <w:rsid w:val="00245B0D"/>
    <w:rsid w:val="00251DE0"/>
    <w:rsid w:val="0026269D"/>
    <w:rsid w:val="002629DD"/>
    <w:rsid w:val="0028322F"/>
    <w:rsid w:val="0028539E"/>
    <w:rsid w:val="00291247"/>
    <w:rsid w:val="00293AA5"/>
    <w:rsid w:val="002A43FB"/>
    <w:rsid w:val="002B3FD5"/>
    <w:rsid w:val="002C1C1D"/>
    <w:rsid w:val="002C71D3"/>
    <w:rsid w:val="002D4142"/>
    <w:rsid w:val="002D4775"/>
    <w:rsid w:val="002D6419"/>
    <w:rsid w:val="002E0533"/>
    <w:rsid w:val="002E275A"/>
    <w:rsid w:val="00327FF4"/>
    <w:rsid w:val="003367A4"/>
    <w:rsid w:val="003441F1"/>
    <w:rsid w:val="00347B83"/>
    <w:rsid w:val="00347CB9"/>
    <w:rsid w:val="00350FC5"/>
    <w:rsid w:val="00357083"/>
    <w:rsid w:val="00361447"/>
    <w:rsid w:val="00365A12"/>
    <w:rsid w:val="00384F8F"/>
    <w:rsid w:val="00393ABB"/>
    <w:rsid w:val="0039549E"/>
    <w:rsid w:val="003A3792"/>
    <w:rsid w:val="003B7B81"/>
    <w:rsid w:val="003E688F"/>
    <w:rsid w:val="003F5FA0"/>
    <w:rsid w:val="003F6B4B"/>
    <w:rsid w:val="00402D9B"/>
    <w:rsid w:val="004055BF"/>
    <w:rsid w:val="0041387F"/>
    <w:rsid w:val="00415140"/>
    <w:rsid w:val="00432BAC"/>
    <w:rsid w:val="0045401B"/>
    <w:rsid w:val="00454135"/>
    <w:rsid w:val="00463BC1"/>
    <w:rsid w:val="004821CF"/>
    <w:rsid w:val="004829C2"/>
    <w:rsid w:val="004875DA"/>
    <w:rsid w:val="00496A4A"/>
    <w:rsid w:val="004A1607"/>
    <w:rsid w:val="004A1D43"/>
    <w:rsid w:val="004B157B"/>
    <w:rsid w:val="004B5367"/>
    <w:rsid w:val="004C4F64"/>
    <w:rsid w:val="004D419D"/>
    <w:rsid w:val="004D6BB1"/>
    <w:rsid w:val="004D7353"/>
    <w:rsid w:val="004E4173"/>
    <w:rsid w:val="004F4AD4"/>
    <w:rsid w:val="004F5527"/>
    <w:rsid w:val="0050288F"/>
    <w:rsid w:val="00506F77"/>
    <w:rsid w:val="00507F72"/>
    <w:rsid w:val="00510420"/>
    <w:rsid w:val="00522C43"/>
    <w:rsid w:val="00525649"/>
    <w:rsid w:val="0053013C"/>
    <w:rsid w:val="00552929"/>
    <w:rsid w:val="00560D4E"/>
    <w:rsid w:val="00573D08"/>
    <w:rsid w:val="00590003"/>
    <w:rsid w:val="00597EF9"/>
    <w:rsid w:val="005B5297"/>
    <w:rsid w:val="005C0860"/>
    <w:rsid w:val="005C27F5"/>
    <w:rsid w:val="005F1B78"/>
    <w:rsid w:val="006112C2"/>
    <w:rsid w:val="00617F10"/>
    <w:rsid w:val="00627DE7"/>
    <w:rsid w:val="006328DD"/>
    <w:rsid w:val="0064180B"/>
    <w:rsid w:val="0064580C"/>
    <w:rsid w:val="00663485"/>
    <w:rsid w:val="00673BCA"/>
    <w:rsid w:val="00675E85"/>
    <w:rsid w:val="00677A7E"/>
    <w:rsid w:val="00677F8F"/>
    <w:rsid w:val="006877C7"/>
    <w:rsid w:val="006A3FAA"/>
    <w:rsid w:val="006A46DB"/>
    <w:rsid w:val="006E6179"/>
    <w:rsid w:val="006E7EDB"/>
    <w:rsid w:val="00706F7A"/>
    <w:rsid w:val="00720F84"/>
    <w:rsid w:val="007236D3"/>
    <w:rsid w:val="0072409F"/>
    <w:rsid w:val="00730A89"/>
    <w:rsid w:val="00731697"/>
    <w:rsid w:val="00742A3D"/>
    <w:rsid w:val="00743AC2"/>
    <w:rsid w:val="007440E7"/>
    <w:rsid w:val="007448AB"/>
    <w:rsid w:val="00747038"/>
    <w:rsid w:val="00753E33"/>
    <w:rsid w:val="007637F1"/>
    <w:rsid w:val="00767703"/>
    <w:rsid w:val="00772A79"/>
    <w:rsid w:val="00784A5D"/>
    <w:rsid w:val="007857AD"/>
    <w:rsid w:val="00787032"/>
    <w:rsid w:val="00787C64"/>
    <w:rsid w:val="007A030E"/>
    <w:rsid w:val="007A037B"/>
    <w:rsid w:val="007A3E6D"/>
    <w:rsid w:val="007D0E15"/>
    <w:rsid w:val="007D40BD"/>
    <w:rsid w:val="007E1DF5"/>
    <w:rsid w:val="007E79C5"/>
    <w:rsid w:val="00801916"/>
    <w:rsid w:val="00807BC9"/>
    <w:rsid w:val="008160E6"/>
    <w:rsid w:val="00847D68"/>
    <w:rsid w:val="00853600"/>
    <w:rsid w:val="00853623"/>
    <w:rsid w:val="00870D8D"/>
    <w:rsid w:val="00874642"/>
    <w:rsid w:val="00882B3F"/>
    <w:rsid w:val="00885B1D"/>
    <w:rsid w:val="0089074B"/>
    <w:rsid w:val="008A5762"/>
    <w:rsid w:val="008B3E3E"/>
    <w:rsid w:val="008B5287"/>
    <w:rsid w:val="008B718B"/>
    <w:rsid w:val="008C2E13"/>
    <w:rsid w:val="008C610D"/>
    <w:rsid w:val="008C7694"/>
    <w:rsid w:val="008D286C"/>
    <w:rsid w:val="008D3184"/>
    <w:rsid w:val="008F57D1"/>
    <w:rsid w:val="009028C1"/>
    <w:rsid w:val="00907CDC"/>
    <w:rsid w:val="00914C55"/>
    <w:rsid w:val="00914D9C"/>
    <w:rsid w:val="00921978"/>
    <w:rsid w:val="00924D1F"/>
    <w:rsid w:val="00945A8B"/>
    <w:rsid w:val="00955B69"/>
    <w:rsid w:val="00957566"/>
    <w:rsid w:val="009637F3"/>
    <w:rsid w:val="009709D8"/>
    <w:rsid w:val="00973E25"/>
    <w:rsid w:val="00974504"/>
    <w:rsid w:val="009756A7"/>
    <w:rsid w:val="00980010"/>
    <w:rsid w:val="00981A5A"/>
    <w:rsid w:val="00987C2E"/>
    <w:rsid w:val="009B4B4A"/>
    <w:rsid w:val="009B6C05"/>
    <w:rsid w:val="009C2278"/>
    <w:rsid w:val="009C42DB"/>
    <w:rsid w:val="009D0AF6"/>
    <w:rsid w:val="009D5A4B"/>
    <w:rsid w:val="009E1653"/>
    <w:rsid w:val="009E72B6"/>
    <w:rsid w:val="00A01ECE"/>
    <w:rsid w:val="00A2294E"/>
    <w:rsid w:val="00A43156"/>
    <w:rsid w:val="00A44C90"/>
    <w:rsid w:val="00A4677A"/>
    <w:rsid w:val="00A53AA4"/>
    <w:rsid w:val="00A6795C"/>
    <w:rsid w:val="00A71E71"/>
    <w:rsid w:val="00A845FC"/>
    <w:rsid w:val="00A913BC"/>
    <w:rsid w:val="00A96397"/>
    <w:rsid w:val="00AA0E23"/>
    <w:rsid w:val="00AA2D10"/>
    <w:rsid w:val="00AD1A86"/>
    <w:rsid w:val="00AD59EF"/>
    <w:rsid w:val="00AF1260"/>
    <w:rsid w:val="00AF41D5"/>
    <w:rsid w:val="00B154D2"/>
    <w:rsid w:val="00B247AC"/>
    <w:rsid w:val="00B2518D"/>
    <w:rsid w:val="00B27AAF"/>
    <w:rsid w:val="00B31943"/>
    <w:rsid w:val="00B35CB7"/>
    <w:rsid w:val="00B35FDD"/>
    <w:rsid w:val="00B6137F"/>
    <w:rsid w:val="00B614D4"/>
    <w:rsid w:val="00B65DD1"/>
    <w:rsid w:val="00B673AB"/>
    <w:rsid w:val="00B6797D"/>
    <w:rsid w:val="00B77882"/>
    <w:rsid w:val="00B8151E"/>
    <w:rsid w:val="00BB0041"/>
    <w:rsid w:val="00BB0CB1"/>
    <w:rsid w:val="00BC35D6"/>
    <w:rsid w:val="00BD64A3"/>
    <w:rsid w:val="00BD7A12"/>
    <w:rsid w:val="00C032D2"/>
    <w:rsid w:val="00C10032"/>
    <w:rsid w:val="00C13DFD"/>
    <w:rsid w:val="00C14A45"/>
    <w:rsid w:val="00C177F0"/>
    <w:rsid w:val="00C17A2B"/>
    <w:rsid w:val="00C22148"/>
    <w:rsid w:val="00C25A0B"/>
    <w:rsid w:val="00C308BF"/>
    <w:rsid w:val="00C66564"/>
    <w:rsid w:val="00C71BA9"/>
    <w:rsid w:val="00C81C5B"/>
    <w:rsid w:val="00CB62BD"/>
    <w:rsid w:val="00CD1F2F"/>
    <w:rsid w:val="00CD3675"/>
    <w:rsid w:val="00CF179E"/>
    <w:rsid w:val="00D03FE5"/>
    <w:rsid w:val="00D065F2"/>
    <w:rsid w:val="00D10CB8"/>
    <w:rsid w:val="00D1216C"/>
    <w:rsid w:val="00D168BE"/>
    <w:rsid w:val="00D23DFC"/>
    <w:rsid w:val="00D410E3"/>
    <w:rsid w:val="00D45F4A"/>
    <w:rsid w:val="00D465B1"/>
    <w:rsid w:val="00D46802"/>
    <w:rsid w:val="00D60C67"/>
    <w:rsid w:val="00D6284D"/>
    <w:rsid w:val="00D63602"/>
    <w:rsid w:val="00D71544"/>
    <w:rsid w:val="00D8713A"/>
    <w:rsid w:val="00DA3B25"/>
    <w:rsid w:val="00DB6149"/>
    <w:rsid w:val="00DB772A"/>
    <w:rsid w:val="00DB7922"/>
    <w:rsid w:val="00DC1039"/>
    <w:rsid w:val="00DC319C"/>
    <w:rsid w:val="00DC4F09"/>
    <w:rsid w:val="00DD4A0E"/>
    <w:rsid w:val="00DD7E8B"/>
    <w:rsid w:val="00DF32C5"/>
    <w:rsid w:val="00DF7A2A"/>
    <w:rsid w:val="00E00F5B"/>
    <w:rsid w:val="00E06A6F"/>
    <w:rsid w:val="00E14061"/>
    <w:rsid w:val="00E20909"/>
    <w:rsid w:val="00E3123C"/>
    <w:rsid w:val="00E4279E"/>
    <w:rsid w:val="00E43089"/>
    <w:rsid w:val="00E45634"/>
    <w:rsid w:val="00E46E06"/>
    <w:rsid w:val="00E51106"/>
    <w:rsid w:val="00E7156E"/>
    <w:rsid w:val="00E73C95"/>
    <w:rsid w:val="00E77087"/>
    <w:rsid w:val="00E7739A"/>
    <w:rsid w:val="00E82731"/>
    <w:rsid w:val="00E87166"/>
    <w:rsid w:val="00EA02E4"/>
    <w:rsid w:val="00EA53EE"/>
    <w:rsid w:val="00EA54D4"/>
    <w:rsid w:val="00EC654D"/>
    <w:rsid w:val="00EE0332"/>
    <w:rsid w:val="00EE5CA2"/>
    <w:rsid w:val="00EF27CE"/>
    <w:rsid w:val="00F02EA4"/>
    <w:rsid w:val="00F123B0"/>
    <w:rsid w:val="00F17E5E"/>
    <w:rsid w:val="00F23EEC"/>
    <w:rsid w:val="00F26D22"/>
    <w:rsid w:val="00F31523"/>
    <w:rsid w:val="00F329DE"/>
    <w:rsid w:val="00F367A4"/>
    <w:rsid w:val="00F60300"/>
    <w:rsid w:val="00F73BB6"/>
    <w:rsid w:val="00F74A39"/>
    <w:rsid w:val="00F839BB"/>
    <w:rsid w:val="00F84552"/>
    <w:rsid w:val="00F873B4"/>
    <w:rsid w:val="00F90069"/>
    <w:rsid w:val="00FA69C2"/>
    <w:rsid w:val="00FC4A72"/>
    <w:rsid w:val="00FD0642"/>
    <w:rsid w:val="00FD1622"/>
    <w:rsid w:val="00FD293D"/>
    <w:rsid w:val="00FD2C83"/>
    <w:rsid w:val="00FE3FD4"/>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6284D"/>
    <w:pPr>
      <w:spacing w:after="0" w:line="240" w:lineRule="auto"/>
    </w:pPr>
    <w:rPr>
      <w:rFonts w:ascii="Times New Roman" w:eastAsia="Times New Roman" w:hAnsi="Times New Roman" w:cs="Times New Roman"/>
      <w:sz w:val="24"/>
      <w:szCs w:val="24"/>
    </w:rPr>
  </w:style>
  <w:style w:type="paragraph" w:styleId="Nagwek1">
    <w:name w:val="heading 1"/>
    <w:basedOn w:val="Normalny"/>
    <w:next w:val="Normalny"/>
    <w:uiPriority w:val="9"/>
    <w:qFormat/>
    <w:pPr>
      <w:keepNext/>
      <w:keepLines/>
      <w:spacing w:before="480" w:after="120" w:line="259" w:lineRule="auto"/>
      <w:outlineLvl w:val="0"/>
    </w:pPr>
    <w:rPr>
      <w:rFonts w:ascii="Calibri" w:eastAsia="Calibri" w:hAnsi="Calibri" w:cs="Calibri"/>
      <w:b/>
      <w:sz w:val="48"/>
      <w:szCs w:val="48"/>
    </w:rPr>
  </w:style>
  <w:style w:type="paragraph" w:styleId="Nagwek2">
    <w:name w:val="heading 2"/>
    <w:basedOn w:val="Normalny"/>
    <w:next w:val="Normalny"/>
    <w:uiPriority w:val="9"/>
    <w:semiHidden/>
    <w:unhideWhenUsed/>
    <w:qFormat/>
    <w:pPr>
      <w:keepNext/>
      <w:keepLines/>
      <w:spacing w:before="360" w:after="80" w:line="259" w:lineRule="auto"/>
      <w:outlineLvl w:val="1"/>
    </w:pPr>
    <w:rPr>
      <w:rFonts w:ascii="Calibri" w:eastAsia="Calibri" w:hAnsi="Calibri" w:cs="Calibri"/>
      <w:b/>
      <w:sz w:val="36"/>
      <w:szCs w:val="36"/>
    </w:rPr>
  </w:style>
  <w:style w:type="paragraph" w:styleId="Nagwek3">
    <w:name w:val="heading 3"/>
    <w:basedOn w:val="Normalny"/>
    <w:next w:val="Normalny"/>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Nagwek4">
    <w:name w:val="heading 4"/>
    <w:basedOn w:val="Normalny"/>
    <w:next w:val="Normalny"/>
    <w:uiPriority w:val="9"/>
    <w:semiHidden/>
    <w:unhideWhenUsed/>
    <w:qFormat/>
    <w:pPr>
      <w:keepNext/>
      <w:keepLines/>
      <w:spacing w:before="240" w:after="40" w:line="259" w:lineRule="auto"/>
      <w:outlineLvl w:val="3"/>
    </w:pPr>
    <w:rPr>
      <w:rFonts w:ascii="Calibri" w:eastAsia="Calibri" w:hAnsi="Calibri" w:cs="Calibri"/>
      <w:b/>
    </w:rPr>
  </w:style>
  <w:style w:type="paragraph" w:styleId="Nagwek5">
    <w:name w:val="heading 5"/>
    <w:basedOn w:val="Normalny"/>
    <w:next w:val="Normalny"/>
    <w:uiPriority w:val="9"/>
    <w:semiHidden/>
    <w:unhideWhenUsed/>
    <w:qFormat/>
    <w:pPr>
      <w:keepNext/>
      <w:keepLines/>
      <w:spacing w:before="220" w:after="40" w:line="259" w:lineRule="auto"/>
      <w:outlineLvl w:val="4"/>
    </w:pPr>
    <w:rPr>
      <w:rFonts w:ascii="Calibri" w:eastAsia="Calibri" w:hAnsi="Calibri" w:cs="Calibri"/>
      <w:b/>
      <w:sz w:val="22"/>
      <w:szCs w:val="22"/>
    </w:rPr>
  </w:style>
  <w:style w:type="paragraph" w:styleId="Nagwek6">
    <w:name w:val="heading 6"/>
    <w:basedOn w:val="Normalny"/>
    <w:next w:val="Normalny"/>
    <w:uiPriority w:val="9"/>
    <w:semiHidden/>
    <w:unhideWhenUsed/>
    <w:qFormat/>
    <w:pPr>
      <w:keepNext/>
      <w:keepLines/>
      <w:spacing w:before="200" w:after="40" w:line="259" w:lineRule="auto"/>
      <w:outlineLvl w:val="5"/>
    </w:pPr>
    <w:rPr>
      <w:rFonts w:ascii="Calibri" w:eastAsia="Calibri" w:hAnsi="Calibri" w:cs="Calibri"/>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line="259" w:lineRule="auto"/>
    </w:pPr>
    <w:rPr>
      <w:rFonts w:ascii="Calibri" w:eastAsia="Calibri" w:hAnsi="Calibri" w:cs="Calibri"/>
      <w:b/>
      <w:sz w:val="72"/>
      <w:szCs w:val="72"/>
    </w:rPr>
  </w:style>
  <w:style w:type="paragraph" w:styleId="Akapitzlist">
    <w:name w:val="List Paragraph"/>
    <w:basedOn w:val="Normalny"/>
    <w:uiPriority w:val="34"/>
    <w:qFormat/>
    <w:rsid w:val="00B87088"/>
    <w:pPr>
      <w:spacing w:after="160" w:line="259" w:lineRule="auto"/>
      <w:ind w:left="720"/>
      <w:contextualSpacing/>
    </w:pPr>
    <w:rPr>
      <w:rFonts w:ascii="Calibri" w:eastAsia="Calibri" w:hAnsi="Calibri" w:cs="Calibri"/>
      <w:sz w:val="22"/>
      <w:szCs w:val="22"/>
    </w:rPr>
  </w:style>
  <w:style w:type="paragraph" w:styleId="Podtytu">
    <w:name w:val="Subtitle"/>
    <w:basedOn w:val="Normalny"/>
    <w:next w:val="Normalny"/>
    <w:uiPriority w:val="11"/>
    <w:qFormat/>
    <w:pPr>
      <w:keepNext/>
      <w:keepLines/>
      <w:spacing w:before="360" w:after="80" w:line="259" w:lineRule="auto"/>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pPr>
    <w:rPr>
      <w:rFonts w:ascii="Calibri" w:eastAsia="Calibri" w:hAnsi="Calibri" w:cs="Calibri"/>
      <w:sz w:val="22"/>
      <w:szCs w:val="22"/>
    </w:r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pPr>
    <w:rPr>
      <w:rFonts w:ascii="Calibri" w:eastAsia="Calibri" w:hAnsi="Calibri" w:cs="Calibri"/>
      <w:sz w:val="22"/>
      <w:szCs w:val="22"/>
    </w:r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rPr>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unhideWhenUsed/>
    <w:rsid w:val="00AF1260"/>
    <w:pPr>
      <w:spacing w:after="160"/>
    </w:pPr>
    <w:rPr>
      <w:rFonts w:ascii="Calibri" w:eastAsia="Calibri" w:hAnsi="Calibri" w:cs="Calibri"/>
      <w:sz w:val="20"/>
      <w:szCs w:val="20"/>
    </w:rPr>
  </w:style>
  <w:style w:type="character" w:customStyle="1" w:styleId="TekstkomentarzaZnak">
    <w:name w:val="Tekst komentarza Znak"/>
    <w:basedOn w:val="Domylnaczcionkaakapitu"/>
    <w:link w:val="Tekstkomentarza"/>
    <w:uiPriority w:val="99"/>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styleId="NormalnyWeb">
    <w:name w:val="Normal (Web)"/>
    <w:basedOn w:val="Normalny"/>
    <w:uiPriority w:val="99"/>
    <w:unhideWhenUsed/>
    <w:rsid w:val="005C0860"/>
    <w:pPr>
      <w:spacing w:before="100" w:beforeAutospacing="1" w:after="100" w:afterAutospacing="1"/>
    </w:pPr>
  </w:style>
  <w:style w:type="character" w:styleId="Uwydatnienie">
    <w:name w:val="Emphasis"/>
    <w:basedOn w:val="Domylnaczcionkaakapitu"/>
    <w:uiPriority w:val="20"/>
    <w:qFormat/>
    <w:rsid w:val="00FD293D"/>
    <w:rPr>
      <w:i/>
      <w:iCs/>
    </w:rPr>
  </w:style>
  <w:style w:type="paragraph" w:styleId="Poprawka">
    <w:name w:val="Revision"/>
    <w:hidden/>
    <w:uiPriority w:val="99"/>
    <w:semiHidden/>
    <w:rsid w:val="00C177F0"/>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ny"/>
    <w:rsid w:val="00914D9C"/>
    <w:pPr>
      <w:spacing w:before="100" w:beforeAutospacing="1" w:after="100" w:afterAutospacing="1"/>
    </w:pPr>
  </w:style>
  <w:style w:type="character" w:styleId="UyteHipercze">
    <w:name w:val="FollowedHyperlink"/>
    <w:basedOn w:val="Domylnaczcionkaakapitu"/>
    <w:uiPriority w:val="99"/>
    <w:semiHidden/>
    <w:unhideWhenUsed/>
    <w:rsid w:val="00907CDC"/>
    <w:rPr>
      <w:color w:val="954F72" w:themeColor="followedHyperlink"/>
      <w:u w:val="single"/>
    </w:rPr>
  </w:style>
  <w:style w:type="paragraph" w:styleId="Tekstpodstawowy">
    <w:name w:val="Body Text"/>
    <w:basedOn w:val="Normalny"/>
    <w:link w:val="TekstpodstawowyZnak"/>
    <w:qFormat/>
    <w:rsid w:val="009B6C05"/>
    <w:pPr>
      <w:spacing w:before="180" w:after="180"/>
    </w:pPr>
    <w:rPr>
      <w:rFonts w:asciiTheme="minorHAnsi" w:eastAsiaTheme="minorHAnsi" w:hAnsiTheme="minorHAnsi" w:cstheme="minorBidi"/>
      <w:lang w:val="en" w:eastAsia="en-US"/>
    </w:rPr>
  </w:style>
  <w:style w:type="character" w:customStyle="1" w:styleId="TekstpodstawowyZnak">
    <w:name w:val="Tekst podstawowy Znak"/>
    <w:basedOn w:val="Domylnaczcionkaakapitu"/>
    <w:link w:val="Tekstpodstawowy"/>
    <w:rsid w:val="009B6C05"/>
    <w:rPr>
      <w:rFonts w:asciiTheme="minorHAnsi" w:eastAsiaTheme="minorHAnsi" w:hAnsiTheme="minorHAnsi" w:cstheme="minorBidi"/>
      <w:sz w:val="24"/>
      <w:szCs w:val="24"/>
      <w:lang w:val="en" w:eastAsia="en-US"/>
    </w:rPr>
  </w:style>
  <w:style w:type="paragraph" w:customStyle="1" w:styleId="FirstParagraph">
    <w:name w:val="First Paragraph"/>
    <w:basedOn w:val="Tekstpodstawowy"/>
    <w:next w:val="Tekstpodstawowy"/>
    <w:qFormat/>
    <w:rsid w:val="009B6C05"/>
  </w:style>
  <w:style w:type="paragraph" w:customStyle="1" w:styleId="Compact">
    <w:name w:val="Compact"/>
    <w:basedOn w:val="Tekstpodstawowy"/>
    <w:qFormat/>
    <w:rsid w:val="00E06A6F"/>
    <w:pPr>
      <w:spacing w:before="36" w:after="36"/>
    </w:pPr>
  </w:style>
  <w:style w:type="character" w:styleId="Pogrubienie">
    <w:name w:val="Strong"/>
    <w:basedOn w:val="Domylnaczcionkaakapitu"/>
    <w:uiPriority w:val="22"/>
    <w:qFormat/>
    <w:rsid w:val="008746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59844">
      <w:bodyDiv w:val="1"/>
      <w:marLeft w:val="0"/>
      <w:marRight w:val="0"/>
      <w:marTop w:val="0"/>
      <w:marBottom w:val="0"/>
      <w:divBdr>
        <w:top w:val="none" w:sz="0" w:space="0" w:color="auto"/>
        <w:left w:val="none" w:sz="0" w:space="0" w:color="auto"/>
        <w:bottom w:val="none" w:sz="0" w:space="0" w:color="auto"/>
        <w:right w:val="none" w:sz="0" w:space="0" w:color="auto"/>
      </w:divBdr>
    </w:div>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276526197">
      <w:bodyDiv w:val="1"/>
      <w:marLeft w:val="0"/>
      <w:marRight w:val="0"/>
      <w:marTop w:val="0"/>
      <w:marBottom w:val="0"/>
      <w:divBdr>
        <w:top w:val="none" w:sz="0" w:space="0" w:color="auto"/>
        <w:left w:val="none" w:sz="0" w:space="0" w:color="auto"/>
        <w:bottom w:val="none" w:sz="0" w:space="0" w:color="auto"/>
        <w:right w:val="none" w:sz="0" w:space="0" w:color="auto"/>
      </w:divBdr>
    </w:div>
    <w:div w:id="1398819946">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 w:id="1638224594">
      <w:bodyDiv w:val="1"/>
      <w:marLeft w:val="0"/>
      <w:marRight w:val="0"/>
      <w:marTop w:val="0"/>
      <w:marBottom w:val="0"/>
      <w:divBdr>
        <w:top w:val="none" w:sz="0" w:space="0" w:color="auto"/>
        <w:left w:val="none" w:sz="0" w:space="0" w:color="auto"/>
        <w:bottom w:val="none" w:sz="0" w:space="0" w:color="auto"/>
        <w:right w:val="none" w:sz="0" w:space="0" w:color="auto"/>
      </w:divBdr>
    </w:div>
    <w:div w:id="1846817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Dyba@oknoplast.com.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932</Words>
  <Characters>5593</Characters>
  <Application>Microsoft Office Word</Application>
  <DocSecurity>0</DocSecurity>
  <Lines>46</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2</cp:revision>
  <dcterms:created xsi:type="dcterms:W3CDTF">2025-12-30T15:11:00Z</dcterms:created>
  <dcterms:modified xsi:type="dcterms:W3CDTF">2025-12-30T15:11:00Z</dcterms:modified>
</cp:coreProperties>
</file>