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2656" w14:textId="77777777" w:rsidR="000B32EB" w:rsidRPr="000B32EB" w:rsidRDefault="000B32EB" w:rsidP="000B32EB">
      <w:pPr>
        <w:jc w:val="both"/>
        <w:rPr>
          <w:b/>
          <w:bCs/>
          <w:sz w:val="24"/>
          <w:szCs w:val="24"/>
        </w:rPr>
      </w:pPr>
      <w:r w:rsidRPr="000B32EB">
        <w:rPr>
          <w:b/>
          <w:bCs/>
          <w:sz w:val="24"/>
          <w:szCs w:val="24"/>
        </w:rPr>
        <w:t>Co spowalnia rozwój OZE w Polsce – perspektywa gmin i inwestorów</w:t>
      </w:r>
    </w:p>
    <w:p w14:paraId="3F6C95CC" w14:textId="77777777" w:rsidR="000B32EB" w:rsidRPr="000B32EB" w:rsidRDefault="000B32EB" w:rsidP="000B32EB">
      <w:pPr>
        <w:jc w:val="both"/>
        <w:rPr>
          <w:b/>
          <w:bCs/>
          <w:sz w:val="24"/>
          <w:szCs w:val="24"/>
        </w:rPr>
      </w:pPr>
      <w:r w:rsidRPr="000B32EB">
        <w:rPr>
          <w:b/>
          <w:bCs/>
          <w:sz w:val="24"/>
          <w:szCs w:val="24"/>
        </w:rPr>
        <w:t xml:space="preserve">Polska od kilku lat dynamicznie rozwija odnawialne źródła energii, szczególnie w obszarze </w:t>
      </w:r>
      <w:proofErr w:type="spellStart"/>
      <w:r w:rsidRPr="000B32EB">
        <w:rPr>
          <w:b/>
          <w:bCs/>
          <w:sz w:val="24"/>
          <w:szCs w:val="24"/>
        </w:rPr>
        <w:t>fotowoltaiki</w:t>
      </w:r>
      <w:proofErr w:type="spellEnd"/>
      <w:r w:rsidRPr="000B32EB">
        <w:rPr>
          <w:b/>
          <w:bCs/>
          <w:sz w:val="24"/>
          <w:szCs w:val="24"/>
        </w:rPr>
        <w:t xml:space="preserve"> i energetyki wiatrowej. Jednocześnie coraz wyraźniej widoczne są bariery, które zaczynają spowalniać tempo transformacji energetycznej. Jednym z największych wyzwań pozostają dziś ograniczenia sieci energetycznych i brak możliwości przyłączania nowych inwestycji do systemu elektroenergetycznego. Równolegle rozwój OZE coraz częściej napotyka także bariery społeczne i komunikacyjne, które na poziomie lokalnym wpływają na tempo realizacji inwestycji. </w:t>
      </w:r>
    </w:p>
    <w:p w14:paraId="43BB83CF" w14:textId="77777777" w:rsidR="000B32EB" w:rsidRPr="000B32EB" w:rsidRDefault="000B32EB" w:rsidP="000B32EB">
      <w:pPr>
        <w:jc w:val="both"/>
        <w:rPr>
          <w:b/>
          <w:bCs/>
          <w:sz w:val="24"/>
          <w:szCs w:val="24"/>
        </w:rPr>
      </w:pPr>
      <w:r w:rsidRPr="000B32EB">
        <w:rPr>
          <w:b/>
          <w:bCs/>
          <w:sz w:val="24"/>
          <w:szCs w:val="24"/>
        </w:rPr>
        <w:t>Infrastruktura nie nadąża za tempem transformacji</w:t>
      </w:r>
    </w:p>
    <w:p w14:paraId="0BBC67BB" w14:textId="77777777" w:rsidR="000B32EB" w:rsidRPr="000B32EB" w:rsidRDefault="000B32EB" w:rsidP="000B32EB">
      <w:pPr>
        <w:jc w:val="both"/>
        <w:rPr>
          <w:b/>
          <w:bCs/>
          <w:sz w:val="24"/>
          <w:szCs w:val="24"/>
        </w:rPr>
      </w:pPr>
      <w:r w:rsidRPr="000B32EB">
        <w:rPr>
          <w:sz w:val="24"/>
          <w:szCs w:val="24"/>
        </w:rPr>
        <w:t>Jednym z największych wyzwań rynku OZE pozostają dziś ograniczenia sieci energetycznych i brak mocy przyłączeniowych. Operatorzy systemów elektroenergetycznych od kilku lat wskazują na rosnącą liczbę odmów wydawania warunków przyłączenia dla nowych projektów OZE z powodu ograniczeń sieciowych. Dotyczy to zarówno dużych farm wiatrowych, jak i instalacji fotowoltaicznych. W praktyce oznacza to sytuacje, w których inwestycje przygotowywane przez lata nie mogą przejść do etapu realizacji. Odpowiedzialny rozwój projektów OZE wymaga dziś zatem nie tylko zabezpieczenia terenów inwestycyjnych, ale przede wszystkim realistycznego planowania oraz możliwości faktycznego przyłączenia energii do systemu.</w:t>
      </w:r>
    </w:p>
    <w:p w14:paraId="55E42801" w14:textId="77777777" w:rsidR="000B32EB" w:rsidRPr="000B32EB" w:rsidRDefault="000B32EB" w:rsidP="000B32EB">
      <w:pPr>
        <w:jc w:val="both"/>
        <w:rPr>
          <w:b/>
          <w:bCs/>
          <w:sz w:val="24"/>
          <w:szCs w:val="24"/>
        </w:rPr>
      </w:pPr>
      <w:r w:rsidRPr="000B32EB">
        <w:rPr>
          <w:b/>
          <w:bCs/>
          <w:sz w:val="24"/>
          <w:szCs w:val="24"/>
        </w:rPr>
        <w:t>Procedury nadal pozostają długim i skomplikowanym procesem</w:t>
      </w:r>
    </w:p>
    <w:p w14:paraId="2CDF9B9C" w14:textId="77777777" w:rsidR="000B32EB" w:rsidRPr="000B32EB" w:rsidRDefault="000B32EB" w:rsidP="000B32EB">
      <w:pPr>
        <w:jc w:val="both"/>
        <w:rPr>
          <w:b/>
          <w:bCs/>
          <w:sz w:val="24"/>
          <w:szCs w:val="24"/>
        </w:rPr>
      </w:pPr>
      <w:r w:rsidRPr="000B32EB">
        <w:rPr>
          <w:sz w:val="24"/>
          <w:szCs w:val="24"/>
        </w:rPr>
        <w:t>Drugim problemem są rozbudowane procedury administracyjne. Inwestycje OZE wymagają decyzji środowiskowych, uzgodnień technicznych, procedur planistycznych oraz konsultacji społecznych. W praktyce cały proces może trwać latami. Dotyczy to zarówno projektów wiatrowych, fotowoltaicznych, jak i innych inwestycji związanych z transformacją energetyczną. To właśnie dlatego coraz większego znaczenia nabiera odpowiednio wczesna komunikacja z mieszkańcami i samorządami. Tam, gdzie rozmowa zaczyna się zbyt późno, szybko pojawiają się emocje, niepewność i lokalne napięcia.</w:t>
      </w:r>
    </w:p>
    <w:p w14:paraId="19618312" w14:textId="77777777" w:rsidR="000B32EB" w:rsidRPr="000B32EB" w:rsidRDefault="000B32EB" w:rsidP="000B32EB">
      <w:pPr>
        <w:jc w:val="both"/>
        <w:rPr>
          <w:b/>
          <w:bCs/>
          <w:sz w:val="24"/>
          <w:szCs w:val="24"/>
        </w:rPr>
      </w:pPr>
      <w:r w:rsidRPr="000B32EB">
        <w:rPr>
          <w:b/>
          <w:bCs/>
          <w:sz w:val="24"/>
          <w:szCs w:val="24"/>
        </w:rPr>
        <w:t>Dezinformacja stała się jedną z głównych barier inwestycji</w:t>
      </w:r>
    </w:p>
    <w:p w14:paraId="4CEE0362" w14:textId="77777777" w:rsidR="000B32EB" w:rsidRPr="000B32EB" w:rsidRDefault="000B32EB" w:rsidP="000B32EB">
      <w:pPr>
        <w:jc w:val="both"/>
        <w:rPr>
          <w:sz w:val="24"/>
          <w:szCs w:val="24"/>
        </w:rPr>
      </w:pPr>
      <w:r w:rsidRPr="000B32EB">
        <w:rPr>
          <w:sz w:val="24"/>
          <w:szCs w:val="24"/>
        </w:rPr>
        <w:t xml:space="preserve">W wielu gminach dyskusja wokół inwestycji energetycznych bardzo szybko przenosi się z poziomu faktów na poziom emocji i niezweryfikowanych informacji rozpowszechnianych w </w:t>
      </w:r>
      <w:proofErr w:type="spellStart"/>
      <w:r w:rsidRPr="000B32EB">
        <w:rPr>
          <w:sz w:val="24"/>
          <w:szCs w:val="24"/>
        </w:rPr>
        <w:t>internecie</w:t>
      </w:r>
      <w:proofErr w:type="spellEnd"/>
      <w:r w:rsidRPr="000B32EB">
        <w:rPr>
          <w:sz w:val="24"/>
          <w:szCs w:val="24"/>
        </w:rPr>
        <w:t xml:space="preserve"> oraz mediach społecznościowych. W przypadku inwestycji wiatrowych od lat powracają narracje dotyczące rzekomego negatywnego wpływu turbin na zdrowie, hałasu czy infradźwięków. Tymczasem raporty naukowe, w tym stanowisko Polskiej Akademii Nauk, nie potwierdzają negatywnego wpływu nowoczesnych turbin wiatrowych na zdrowie człowieka. </w:t>
      </w:r>
    </w:p>
    <w:p w14:paraId="6204A921" w14:textId="77777777" w:rsidR="000B32EB" w:rsidRPr="000B32EB" w:rsidRDefault="000B32EB" w:rsidP="000B32EB">
      <w:pPr>
        <w:jc w:val="both"/>
        <w:rPr>
          <w:sz w:val="24"/>
          <w:szCs w:val="24"/>
        </w:rPr>
      </w:pPr>
      <w:r w:rsidRPr="000B32EB">
        <w:rPr>
          <w:sz w:val="24"/>
          <w:szCs w:val="24"/>
        </w:rPr>
        <w:t xml:space="preserve">Eksperci zwracają uwagę, że problem dezinformacji dotyczy dziś nie tylko energetyki wiatrowej, ale również farm fotowoltaicznych czy inwestycji związanych z magazynowaniem energii. Dodatkowym wyzwaniem staje się tempo rozprzestrzeniania emocjonalnych i zmanipulowanych treści w </w:t>
      </w:r>
      <w:proofErr w:type="spellStart"/>
      <w:r w:rsidRPr="000B32EB">
        <w:rPr>
          <w:sz w:val="24"/>
          <w:szCs w:val="24"/>
        </w:rPr>
        <w:t>internecie</w:t>
      </w:r>
      <w:proofErr w:type="spellEnd"/>
      <w:r w:rsidRPr="000B32EB">
        <w:rPr>
          <w:sz w:val="24"/>
          <w:szCs w:val="24"/>
        </w:rPr>
        <w:t>, często wzmacnianych przez narzędzia oparte na sztucznej inteligencji. </w:t>
      </w:r>
    </w:p>
    <w:p w14:paraId="67D951B8" w14:textId="77777777" w:rsidR="000B32EB" w:rsidRPr="000B32EB" w:rsidRDefault="000B32EB" w:rsidP="000B32EB">
      <w:pPr>
        <w:jc w:val="both"/>
        <w:rPr>
          <w:sz w:val="24"/>
          <w:szCs w:val="24"/>
        </w:rPr>
      </w:pPr>
      <w:r w:rsidRPr="000B32EB">
        <w:rPr>
          <w:sz w:val="24"/>
          <w:szCs w:val="24"/>
        </w:rPr>
        <w:lastRenderedPageBreak/>
        <w:t xml:space="preserve">Skalę wyzwań komunikacyjnych pokazują również dane Google </w:t>
      </w:r>
      <w:proofErr w:type="spellStart"/>
      <w:r w:rsidRPr="000B32EB">
        <w:rPr>
          <w:sz w:val="24"/>
          <w:szCs w:val="24"/>
        </w:rPr>
        <w:t>Trends</w:t>
      </w:r>
      <w:proofErr w:type="spellEnd"/>
      <w:r w:rsidRPr="000B32EB">
        <w:rPr>
          <w:sz w:val="24"/>
          <w:szCs w:val="24"/>
        </w:rPr>
        <w:t xml:space="preserve">. W ciągu ostatnich pięciu lat liczba </w:t>
      </w:r>
      <w:proofErr w:type="spellStart"/>
      <w:r w:rsidRPr="000B32EB">
        <w:rPr>
          <w:sz w:val="24"/>
          <w:szCs w:val="24"/>
        </w:rPr>
        <w:t>wyszukiwań</w:t>
      </w:r>
      <w:proofErr w:type="spellEnd"/>
      <w:r w:rsidRPr="000B32EB">
        <w:rPr>
          <w:sz w:val="24"/>
          <w:szCs w:val="24"/>
        </w:rPr>
        <w:t xml:space="preserve"> haseł takich jak „co to OZE” wzrosła o 90%, a frazy „OZE co to” o 80%. To pokazuje, że mimo dynamicznego rozwoju rynku mieszkańcy nadal bardzo często poszukują podstawowych informacji dotyczących odnawialnych źródeł energii. </w:t>
      </w:r>
    </w:p>
    <w:p w14:paraId="1720EDEB" w14:textId="77777777" w:rsidR="000B32EB" w:rsidRPr="000B32EB" w:rsidRDefault="000B32EB" w:rsidP="000B32EB">
      <w:pPr>
        <w:jc w:val="both"/>
        <w:rPr>
          <w:sz w:val="24"/>
          <w:szCs w:val="24"/>
        </w:rPr>
      </w:pPr>
      <w:r w:rsidRPr="000B32EB">
        <w:rPr>
          <w:sz w:val="24"/>
          <w:szCs w:val="24"/>
        </w:rPr>
        <w:t>W efekcie wstrzymywane bywają projekty, które mogłyby przynieść gminom wielomilionowe wpływy podatkowe, rozwój infrastruktury oraz dodatkowe korzyści finansowe dla mieszkańców i lokalnych przedsiębiorców. Dlatego samorządy i inwestorzy coraz częściej podkreślają, że kluczowe znaczenie ma dziś odpowiednio wczesna komunikacja, obecność ekspertów na miejscu oraz transparentne przedstawienie wpływu i korzyści wynikających z inwestycji. </w:t>
      </w:r>
    </w:p>
    <w:p w14:paraId="6553FD53" w14:textId="77777777" w:rsidR="000B32EB" w:rsidRPr="000B32EB" w:rsidRDefault="000B32EB" w:rsidP="000B32EB">
      <w:pPr>
        <w:jc w:val="both"/>
        <w:rPr>
          <w:b/>
          <w:bCs/>
          <w:sz w:val="24"/>
          <w:szCs w:val="24"/>
        </w:rPr>
      </w:pPr>
      <w:r w:rsidRPr="000B32EB">
        <w:rPr>
          <w:b/>
          <w:bCs/>
          <w:sz w:val="24"/>
          <w:szCs w:val="24"/>
        </w:rPr>
        <w:t>Gminy mogą realnie zyskać na OZE</w:t>
      </w:r>
    </w:p>
    <w:p w14:paraId="622A58C1" w14:textId="77777777" w:rsidR="000B32EB" w:rsidRPr="000B32EB" w:rsidRDefault="000B32EB" w:rsidP="000B32EB">
      <w:pPr>
        <w:jc w:val="both"/>
        <w:rPr>
          <w:b/>
          <w:bCs/>
          <w:sz w:val="24"/>
          <w:szCs w:val="24"/>
        </w:rPr>
      </w:pPr>
      <w:r w:rsidRPr="000B32EB">
        <w:rPr>
          <w:sz w:val="24"/>
          <w:szCs w:val="24"/>
        </w:rPr>
        <w:t xml:space="preserve">Coraz więcej samorządów zaczyna jednak postrzegać inwestycje OZE jako element długofalowego rozwoju lokalnego. Najbardziej znanym przykładem pozostaje dziś gmina Darłowo, gdzie funkcjonuje 118 turbin wiatrowych. Wpływy podatkowe związane z farmami wiatrowymi wynoszą tam około 8 mln zł rocznie, co stanowi blisko 10% dochodów gminy. Energia produkowana przez lokalne instalacje osiąga poziom około 560 </w:t>
      </w:r>
      <w:proofErr w:type="spellStart"/>
      <w:r w:rsidRPr="000B32EB">
        <w:rPr>
          <w:sz w:val="24"/>
          <w:szCs w:val="24"/>
        </w:rPr>
        <w:t>GWh</w:t>
      </w:r>
      <w:proofErr w:type="spellEnd"/>
      <w:r w:rsidRPr="000B32EB">
        <w:rPr>
          <w:sz w:val="24"/>
          <w:szCs w:val="24"/>
        </w:rPr>
        <w:t xml:space="preserve"> rocznie, co odpowiada zapotrzebowaniu energetycznemu ponad pół miliona mieszkańców. Środki z inwestycji wspierają rozwój infrastruktury, inwestycje lokalne oraz finansowanie usług publicznych. W gminie realizowane są m.in. inwestycje drogowe, modernizacje infrastruktury, termomodernizacje szkół, wsparcie Ochotniczych Straży Pożarnych czy rewitalizacja przestrzeni publicznej. Wójt gminy Darłowo podkreślał również, że dzięki inwestycjom wiatrowym powstały bardzo dobrej jakości drogi dojazdowe do pól, które są nadal utrzymywane przez firmy energetyczne. Korzyści dotyczą również mieszkańców i lokalnych przedsiębiorców. Przy obsłudze i serwisie turbin zatrudnienie znajduje około 40 osób, a podczas budowy inwestycji angażowane były lokalne firmy budowlane i usługowe. </w:t>
      </w:r>
    </w:p>
    <w:p w14:paraId="0D9BCAC5" w14:textId="77777777" w:rsidR="000B32EB" w:rsidRPr="000B32EB" w:rsidRDefault="000B32EB" w:rsidP="000B32EB">
      <w:pPr>
        <w:jc w:val="both"/>
        <w:rPr>
          <w:b/>
          <w:bCs/>
          <w:sz w:val="24"/>
          <w:szCs w:val="24"/>
        </w:rPr>
      </w:pPr>
      <w:r w:rsidRPr="000B32EB">
        <w:rPr>
          <w:sz w:val="24"/>
          <w:szCs w:val="24"/>
        </w:rPr>
        <w:t xml:space="preserve">– </w:t>
      </w:r>
      <w:r w:rsidRPr="000B32EB">
        <w:rPr>
          <w:i/>
          <w:iCs/>
          <w:sz w:val="24"/>
          <w:szCs w:val="24"/>
        </w:rPr>
        <w:t>Coraz więcej gmin dostrzega, że inwestycje OZE mogą realnie wspierać rozwój lokalny. To nie tylko dodatkowe wpływy do budżetu samorządów, ale również możliwość realizacji inwestycji infrastrukturalnych, poprawy bezpieczeństwa energetycznego i tworzenia nowoczesnego modelu rozwoju gminy</w:t>
      </w:r>
      <w:r w:rsidRPr="000B32EB">
        <w:rPr>
          <w:sz w:val="24"/>
          <w:szCs w:val="24"/>
        </w:rPr>
        <w:t xml:space="preserve"> – podkreśla Kaja Sawicka, Dyrektor Projektów OZE w </w:t>
      </w:r>
      <w:proofErr w:type="spellStart"/>
      <w:r w:rsidRPr="000B32EB">
        <w:rPr>
          <w:sz w:val="24"/>
          <w:szCs w:val="24"/>
        </w:rPr>
        <w:t>Enerco</w:t>
      </w:r>
      <w:proofErr w:type="spellEnd"/>
      <w:r w:rsidRPr="000B32EB">
        <w:rPr>
          <w:sz w:val="24"/>
          <w:szCs w:val="24"/>
        </w:rPr>
        <w:t xml:space="preserve"> Sp. z o.o.</w:t>
      </w:r>
    </w:p>
    <w:p w14:paraId="2CBE9533" w14:textId="77777777" w:rsidR="000B32EB" w:rsidRPr="000B32EB" w:rsidRDefault="000B32EB" w:rsidP="000B32EB">
      <w:pPr>
        <w:jc w:val="both"/>
        <w:rPr>
          <w:b/>
          <w:bCs/>
          <w:sz w:val="24"/>
          <w:szCs w:val="24"/>
        </w:rPr>
      </w:pPr>
      <w:r w:rsidRPr="000B32EB">
        <w:rPr>
          <w:b/>
          <w:bCs/>
          <w:sz w:val="24"/>
          <w:szCs w:val="24"/>
        </w:rPr>
        <w:t>Co działa? Dialog i transparentność</w:t>
      </w:r>
    </w:p>
    <w:p w14:paraId="266E90C2" w14:textId="77777777" w:rsidR="000B32EB" w:rsidRPr="000B32EB" w:rsidRDefault="000B32EB" w:rsidP="000B32EB">
      <w:pPr>
        <w:jc w:val="both"/>
        <w:rPr>
          <w:b/>
          <w:bCs/>
          <w:sz w:val="24"/>
          <w:szCs w:val="24"/>
        </w:rPr>
      </w:pPr>
      <w:r w:rsidRPr="000B32EB">
        <w:rPr>
          <w:sz w:val="24"/>
          <w:szCs w:val="24"/>
        </w:rPr>
        <w:t>Doświadczenia samorządów i inwestorów pokazują, że powodzenie projektów OZE coraz częściej zależy od jakości komunikacji z mieszkańcami. </w:t>
      </w:r>
    </w:p>
    <w:p w14:paraId="7AB42409" w14:textId="77777777" w:rsidR="000B32EB" w:rsidRPr="000B32EB" w:rsidRDefault="000B32EB" w:rsidP="000B32EB">
      <w:pPr>
        <w:jc w:val="both"/>
        <w:rPr>
          <w:b/>
          <w:bCs/>
          <w:sz w:val="24"/>
          <w:szCs w:val="24"/>
        </w:rPr>
      </w:pPr>
      <w:r w:rsidRPr="000B32EB">
        <w:rPr>
          <w:i/>
          <w:iCs/>
          <w:sz w:val="24"/>
          <w:szCs w:val="24"/>
        </w:rPr>
        <w:t>– Widzimy, że wokół inwestycji OZE bardzo często pojawiają się pytania i obawy wynikające z nadmiaru sprzecznych informacji. Dlatego tak ważna jest obecność na miejscu, rozmowa z mieszkańcami oraz działania edukacyjne prowadzone również w szkołach. Warsztaty dla dzieci i młodzieży pomagają budować świadomość tego, jak zmienia się dziś energetyka i jak wpływa na przyszłość lokalnych społeczności</w:t>
      </w:r>
      <w:r w:rsidRPr="000B32EB">
        <w:rPr>
          <w:sz w:val="24"/>
          <w:szCs w:val="24"/>
        </w:rPr>
        <w:t xml:space="preserve"> – podkreśla </w:t>
      </w:r>
      <w:r w:rsidRPr="000B32EB">
        <w:rPr>
          <w:sz w:val="24"/>
          <w:szCs w:val="24"/>
        </w:rPr>
        <w:lastRenderedPageBreak/>
        <w:t>Justyna Barwińska, koordynator programu „</w:t>
      </w:r>
      <w:proofErr w:type="spellStart"/>
      <w:r w:rsidRPr="000B32EB">
        <w:rPr>
          <w:sz w:val="24"/>
          <w:szCs w:val="24"/>
        </w:rPr>
        <w:t>MOCni</w:t>
      </w:r>
      <w:proofErr w:type="spellEnd"/>
      <w:r w:rsidRPr="000B32EB">
        <w:rPr>
          <w:sz w:val="24"/>
          <w:szCs w:val="24"/>
        </w:rPr>
        <w:t xml:space="preserve"> z natury”, w ramach którego prowadzone są bezpłatne działania edukacyjne dla mieszkańców. </w:t>
      </w:r>
    </w:p>
    <w:p w14:paraId="6BD76AFF" w14:textId="77777777" w:rsidR="000B32EB" w:rsidRPr="000B32EB" w:rsidRDefault="000B32EB" w:rsidP="000B32EB">
      <w:pPr>
        <w:jc w:val="both"/>
        <w:rPr>
          <w:b/>
          <w:bCs/>
          <w:sz w:val="24"/>
          <w:szCs w:val="24"/>
        </w:rPr>
      </w:pPr>
      <w:r w:rsidRPr="000B32EB">
        <w:rPr>
          <w:sz w:val="24"/>
          <w:szCs w:val="24"/>
        </w:rPr>
        <w:t xml:space="preserve">Transformacja energetyczna coraz częściej nie opiera się już na jednej technologii, ale na lokalnych ekosystemach OZE łączących energetykę wiatrową, </w:t>
      </w:r>
      <w:proofErr w:type="spellStart"/>
      <w:r w:rsidRPr="000B32EB">
        <w:rPr>
          <w:sz w:val="24"/>
          <w:szCs w:val="24"/>
        </w:rPr>
        <w:t>fotowoltaikę</w:t>
      </w:r>
      <w:proofErr w:type="spellEnd"/>
      <w:r w:rsidRPr="000B32EB">
        <w:rPr>
          <w:sz w:val="24"/>
          <w:szCs w:val="24"/>
        </w:rPr>
        <w:t>, magazyny energii oraz rozwiązania wspierające bezpieczeństwo energetyczne gmin. To właśnie dlatego obok inwestycji technologicznych coraz większego znaczenia nabierają dziś edukacja, transparentność i budowanie zaufania społecznego wokół rozwoju odnawialnych źródeł energii. </w:t>
      </w:r>
    </w:p>
    <w:p w14:paraId="099FAA2E" w14:textId="50CDD20D" w:rsidR="000B32EB" w:rsidRPr="000B32EB" w:rsidRDefault="000B32EB" w:rsidP="000B32EB">
      <w:pPr>
        <w:jc w:val="both"/>
        <w:rPr>
          <w:sz w:val="24"/>
          <w:szCs w:val="24"/>
        </w:rPr>
      </w:pPr>
      <w:r w:rsidRPr="000B32EB">
        <w:rPr>
          <w:sz w:val="24"/>
          <w:szCs w:val="24"/>
        </w:rPr>
        <w:br/>
      </w:r>
      <w:r w:rsidRPr="000B32EB">
        <w:rPr>
          <w:sz w:val="24"/>
          <w:szCs w:val="24"/>
        </w:rPr>
        <w:br/>
      </w:r>
      <w:r w:rsidRPr="000B32EB">
        <w:rPr>
          <w:sz w:val="24"/>
          <w:szCs w:val="24"/>
        </w:rPr>
        <w:br/>
      </w:r>
      <w:r w:rsidRPr="000B32EB">
        <w:rPr>
          <w:sz w:val="24"/>
          <w:szCs w:val="24"/>
        </w:rPr>
        <w:br/>
      </w:r>
    </w:p>
    <w:p w14:paraId="680C6C86" w14:textId="77777777" w:rsidR="0082078D" w:rsidRPr="000B32EB" w:rsidRDefault="0082078D" w:rsidP="000B32EB">
      <w:pPr>
        <w:jc w:val="both"/>
        <w:rPr>
          <w:sz w:val="24"/>
          <w:szCs w:val="24"/>
        </w:rPr>
      </w:pPr>
    </w:p>
    <w:sectPr w:rsidR="0082078D" w:rsidRPr="000B32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7E12"/>
    <w:multiLevelType w:val="multilevel"/>
    <w:tmpl w:val="7DA2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849B3"/>
    <w:multiLevelType w:val="multilevel"/>
    <w:tmpl w:val="2688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523D3"/>
    <w:multiLevelType w:val="multilevel"/>
    <w:tmpl w:val="1700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A19CD"/>
    <w:multiLevelType w:val="multilevel"/>
    <w:tmpl w:val="250E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E6573"/>
    <w:multiLevelType w:val="multilevel"/>
    <w:tmpl w:val="80384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3D303F"/>
    <w:multiLevelType w:val="multilevel"/>
    <w:tmpl w:val="2F4E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B0F22"/>
    <w:multiLevelType w:val="multilevel"/>
    <w:tmpl w:val="666E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E51CCB"/>
    <w:multiLevelType w:val="multilevel"/>
    <w:tmpl w:val="8940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D23E65"/>
    <w:multiLevelType w:val="multilevel"/>
    <w:tmpl w:val="C3F4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A26A6A"/>
    <w:multiLevelType w:val="multilevel"/>
    <w:tmpl w:val="6A62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920ED7"/>
    <w:multiLevelType w:val="multilevel"/>
    <w:tmpl w:val="2506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807066">
    <w:abstractNumId w:val="8"/>
  </w:num>
  <w:num w:numId="2" w16cid:durableId="1534997170">
    <w:abstractNumId w:val="3"/>
  </w:num>
  <w:num w:numId="3" w16cid:durableId="469132446">
    <w:abstractNumId w:val="1"/>
  </w:num>
  <w:num w:numId="4" w16cid:durableId="1483811628">
    <w:abstractNumId w:val="7"/>
  </w:num>
  <w:num w:numId="5" w16cid:durableId="1344548140">
    <w:abstractNumId w:val="10"/>
  </w:num>
  <w:num w:numId="6" w16cid:durableId="1562709178">
    <w:abstractNumId w:val="2"/>
  </w:num>
  <w:num w:numId="7" w16cid:durableId="534774508">
    <w:abstractNumId w:val="9"/>
  </w:num>
  <w:num w:numId="8" w16cid:durableId="421493175">
    <w:abstractNumId w:val="6"/>
  </w:num>
  <w:num w:numId="9" w16cid:durableId="898057604">
    <w:abstractNumId w:val="4"/>
  </w:num>
  <w:num w:numId="10" w16cid:durableId="706103658">
    <w:abstractNumId w:val="0"/>
  </w:num>
  <w:num w:numId="11" w16cid:durableId="274871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2EB"/>
    <w:rsid w:val="000B32EB"/>
    <w:rsid w:val="0082078D"/>
    <w:rsid w:val="00F70D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B837"/>
  <w15:chartTrackingRefBased/>
  <w15:docId w15:val="{16466F69-F56B-4827-A4C6-AD0C830A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B3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B32E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B32E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B32E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B32E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B32E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B32E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B32E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2E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B32E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B32E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B32E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B32E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B32E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B32E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B32E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B32EB"/>
    <w:rPr>
      <w:rFonts w:eastAsiaTheme="majorEastAsia" w:cstheme="majorBidi"/>
      <w:color w:val="272727" w:themeColor="text1" w:themeTint="D8"/>
    </w:rPr>
  </w:style>
  <w:style w:type="paragraph" w:styleId="Tytu">
    <w:name w:val="Title"/>
    <w:basedOn w:val="Normalny"/>
    <w:next w:val="Normalny"/>
    <w:link w:val="TytuZnak"/>
    <w:uiPriority w:val="10"/>
    <w:qFormat/>
    <w:rsid w:val="000B3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B32E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B32E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B32E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B32EB"/>
    <w:pPr>
      <w:spacing w:before="160"/>
      <w:jc w:val="center"/>
    </w:pPr>
    <w:rPr>
      <w:i/>
      <w:iCs/>
      <w:color w:val="404040" w:themeColor="text1" w:themeTint="BF"/>
    </w:rPr>
  </w:style>
  <w:style w:type="character" w:customStyle="1" w:styleId="CytatZnak">
    <w:name w:val="Cytat Znak"/>
    <w:basedOn w:val="Domylnaczcionkaakapitu"/>
    <w:link w:val="Cytat"/>
    <w:uiPriority w:val="29"/>
    <w:rsid w:val="000B32EB"/>
    <w:rPr>
      <w:i/>
      <w:iCs/>
      <w:color w:val="404040" w:themeColor="text1" w:themeTint="BF"/>
    </w:rPr>
  </w:style>
  <w:style w:type="paragraph" w:styleId="Akapitzlist">
    <w:name w:val="List Paragraph"/>
    <w:basedOn w:val="Normalny"/>
    <w:uiPriority w:val="34"/>
    <w:qFormat/>
    <w:rsid w:val="000B32EB"/>
    <w:pPr>
      <w:ind w:left="720"/>
      <w:contextualSpacing/>
    </w:pPr>
  </w:style>
  <w:style w:type="character" w:styleId="Wyrnienieintensywne">
    <w:name w:val="Intense Emphasis"/>
    <w:basedOn w:val="Domylnaczcionkaakapitu"/>
    <w:uiPriority w:val="21"/>
    <w:qFormat/>
    <w:rsid w:val="000B32EB"/>
    <w:rPr>
      <w:i/>
      <w:iCs/>
      <w:color w:val="0F4761" w:themeColor="accent1" w:themeShade="BF"/>
    </w:rPr>
  </w:style>
  <w:style w:type="paragraph" w:styleId="Cytatintensywny">
    <w:name w:val="Intense Quote"/>
    <w:basedOn w:val="Normalny"/>
    <w:next w:val="Normalny"/>
    <w:link w:val="CytatintensywnyZnak"/>
    <w:uiPriority w:val="30"/>
    <w:qFormat/>
    <w:rsid w:val="000B3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B32EB"/>
    <w:rPr>
      <w:i/>
      <w:iCs/>
      <w:color w:val="0F4761" w:themeColor="accent1" w:themeShade="BF"/>
    </w:rPr>
  </w:style>
  <w:style w:type="character" w:styleId="Odwoanieintensywne">
    <w:name w:val="Intense Reference"/>
    <w:basedOn w:val="Domylnaczcionkaakapitu"/>
    <w:uiPriority w:val="32"/>
    <w:qFormat/>
    <w:rsid w:val="000B32EB"/>
    <w:rPr>
      <w:b/>
      <w:bCs/>
      <w:smallCaps/>
      <w:color w:val="0F4761" w:themeColor="accent1" w:themeShade="BF"/>
      <w:spacing w:val="5"/>
    </w:rPr>
  </w:style>
  <w:style w:type="character" w:styleId="Hipercze">
    <w:name w:val="Hyperlink"/>
    <w:basedOn w:val="Domylnaczcionkaakapitu"/>
    <w:uiPriority w:val="99"/>
    <w:unhideWhenUsed/>
    <w:rsid w:val="000B32EB"/>
    <w:rPr>
      <w:color w:val="467886" w:themeColor="hyperlink"/>
      <w:u w:val="single"/>
    </w:rPr>
  </w:style>
  <w:style w:type="character" w:styleId="Nierozpoznanawzmianka">
    <w:name w:val="Unresolved Mention"/>
    <w:basedOn w:val="Domylnaczcionkaakapitu"/>
    <w:uiPriority w:val="99"/>
    <w:semiHidden/>
    <w:unhideWhenUsed/>
    <w:rsid w:val="000B3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5601</Characters>
  <Application>Microsoft Office Word</Application>
  <DocSecurity>0</DocSecurity>
  <Lines>78</Lines>
  <Paragraphs>27</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Goławska</dc:creator>
  <cp:keywords/>
  <dc:description/>
  <cp:lastModifiedBy>Anna Goławska</cp:lastModifiedBy>
  <cp:revision>1</cp:revision>
  <dcterms:created xsi:type="dcterms:W3CDTF">2026-05-27T09:02:00Z</dcterms:created>
  <dcterms:modified xsi:type="dcterms:W3CDTF">2026-05-27T09:02:00Z</dcterms:modified>
</cp:coreProperties>
</file>