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AA9B8" w14:textId="77777777" w:rsidR="009E35DB" w:rsidRPr="009E35DB" w:rsidRDefault="009E35DB" w:rsidP="009E35DB">
      <w:pPr>
        <w:pStyle w:val="Nagwek2"/>
        <w:jc w:val="both"/>
        <w:rPr>
          <w:sz w:val="24"/>
          <w:szCs w:val="24"/>
        </w:rPr>
      </w:pPr>
      <w:r w:rsidRPr="009E35DB">
        <w:rPr>
          <w:sz w:val="24"/>
          <w:szCs w:val="24"/>
        </w:rPr>
        <w:t>Pikniki wracają do łask. Jak przygotować kosz piknikowy i nie popełnić błędów, które mogą skończyć się mandatem?</w:t>
      </w:r>
    </w:p>
    <w:p w14:paraId="25F568E4" w14:textId="77777777" w:rsidR="009E35DB" w:rsidRPr="009E35DB" w:rsidRDefault="009E35DB" w:rsidP="009E35DB">
      <w:pPr>
        <w:pStyle w:val="Nagwek2"/>
        <w:jc w:val="both"/>
        <w:rPr>
          <w:color w:val="auto"/>
          <w:sz w:val="24"/>
          <w:szCs w:val="24"/>
        </w:rPr>
      </w:pPr>
      <w:r w:rsidRPr="009E35DB">
        <w:rPr>
          <w:color w:val="auto"/>
          <w:sz w:val="24"/>
          <w:szCs w:val="24"/>
        </w:rPr>
        <w:t>Pikniki przeżywają prawdziwy renesans. Coraz więcej Polaków zamienia restauracyjne ogródki i galerie handlowe na koc rozłożony w parku, nad jeziorem czy na plaży. Trend slow life, potrzeba odpoczynku od ekranów oraz poszukiwanie prostych sposobów na spędzanie czasu z rodziną i przyjaciółmi sprawiają, że piknik staje się jednym z symboli letniego wypoczynku. Aby jednak relaks na świeżym powietrzu był naprawdę udany, warto pamiętać nie tylko o menu, ale także o kilku zasadach dotyczących organizacji, bezpieczeństwa i wyboru miejsca.</w:t>
      </w:r>
    </w:p>
    <w:p w14:paraId="7D80F5E0" w14:textId="7B73D669" w:rsidR="00750A2B" w:rsidRPr="009E35DB" w:rsidRDefault="00D82393" w:rsidP="009E35DB">
      <w:pPr>
        <w:pStyle w:val="Nagwek2"/>
        <w:jc w:val="both"/>
        <w:rPr>
          <w:sz w:val="24"/>
          <w:szCs w:val="24"/>
        </w:rPr>
      </w:pPr>
      <w:r w:rsidRPr="009E35DB">
        <w:rPr>
          <w:sz w:val="24"/>
          <w:szCs w:val="24"/>
        </w:rPr>
        <w:t>Zasady, które warto znać</w:t>
      </w:r>
    </w:p>
    <w:p w14:paraId="5765817E" w14:textId="77777777" w:rsidR="00750A2B" w:rsidRPr="009E35DB" w:rsidRDefault="00000000" w:rsidP="009E35DB">
      <w:pPr>
        <w:spacing w:after="180" w:line="276" w:lineRule="auto"/>
        <w:jc w:val="both"/>
      </w:pPr>
      <w:r w:rsidRPr="009E35DB">
        <w:t>Nie każde zielone miejsce w Polsce jest dostępne bez ograniczeń. Zanim rozłożysz koc, warto wiedzieć, co</w:t>
      </w:r>
      <w:r w:rsidR="008E3DB8" w:rsidRPr="009E35DB">
        <w:t xml:space="preserve"> i</w:t>
      </w:r>
      <w:r w:rsidRPr="009E35DB">
        <w:t xml:space="preserve"> gdzie wolno</w:t>
      </w:r>
      <w:r w:rsidR="008E3DB8" w:rsidRPr="009E35DB">
        <w:t>, a czego nie</w:t>
      </w:r>
      <w:r w:rsidRPr="009E35DB">
        <w:t>.</w:t>
      </w:r>
    </w:p>
    <w:p w14:paraId="6C25A6FF" w14:textId="77777777" w:rsidR="00750A2B" w:rsidRPr="009E35DB" w:rsidRDefault="00000000" w:rsidP="009E35DB">
      <w:pPr>
        <w:pStyle w:val="Nagwek3"/>
        <w:jc w:val="both"/>
      </w:pPr>
      <w:r w:rsidRPr="009E35DB">
        <w:t>Parki narodowe i rezerwaty przyrody</w:t>
      </w:r>
    </w:p>
    <w:p w14:paraId="23F7B44D" w14:textId="393C8BCC" w:rsidR="00750A2B" w:rsidRPr="009E35DB" w:rsidRDefault="00000000" w:rsidP="009E35DB">
      <w:pPr>
        <w:spacing w:after="180" w:line="276" w:lineRule="auto"/>
        <w:jc w:val="both"/>
      </w:pPr>
      <w:r w:rsidRPr="009E35DB">
        <w:t>W Polsce mamy 23 parki narodowe – i każdy z nich rządzi się własnymi zasadami. Generalnie: piknik bez rozpalania ognia jest dozwolony wyłącznie na wyznaczonych terenach rekreacyjnych. Poza nimi obowiązuje zasada: nic nie zostawiam, nic nie niszczę. Schodzenie ze szlaków, hałas, karmienie zwierząt czy pozostawianie śmieci to wykroczenia, za które grozi grzywna od kilkudziesięciu do nawet kilku tysięcy złotych.</w:t>
      </w:r>
      <w:r w:rsidR="009E35DB">
        <w:t xml:space="preserve"> </w:t>
      </w:r>
      <w:r w:rsidRPr="009E35DB">
        <w:t>Psów w parkach narodowych generalnie nie wolno wprowadzać na tereny ochrony ścisłej i czynnej. Szczegóły zawsze warto sprawdzić w regulaminie konkretnego parku przed wyjazdem.</w:t>
      </w:r>
    </w:p>
    <w:p w14:paraId="70CCC569" w14:textId="77777777" w:rsidR="00750A2B" w:rsidRPr="009E35DB" w:rsidRDefault="00000000" w:rsidP="009E35DB">
      <w:pPr>
        <w:pStyle w:val="Nagwek3"/>
        <w:jc w:val="both"/>
      </w:pPr>
      <w:r w:rsidRPr="009E35DB">
        <w:t>Miejskie parki i tereny zielone</w:t>
      </w:r>
    </w:p>
    <w:p w14:paraId="0D335BFE" w14:textId="1F401A2A" w:rsidR="00750A2B" w:rsidRPr="009E35DB" w:rsidRDefault="00000000" w:rsidP="009E35DB">
      <w:pPr>
        <w:spacing w:after="180" w:line="276" w:lineRule="auto"/>
        <w:jc w:val="both"/>
      </w:pPr>
      <w:r w:rsidRPr="009E35DB">
        <w:t>Tu panuje zdecydowanie więcej swobody</w:t>
      </w:r>
      <w:r w:rsidR="009E35DB" w:rsidRPr="009E35DB">
        <w:t xml:space="preserve">, </w:t>
      </w:r>
      <w:r w:rsidRPr="009E35DB">
        <w:t>ale nie oznacza to pełnej dowolności. Piknik na trawie? Jak najbardziej. Grillowanie? To zależy od regulaminu konkretnego parku i gminy.</w:t>
      </w:r>
      <w:r w:rsidR="009E35DB">
        <w:t xml:space="preserve"> </w:t>
      </w:r>
      <w:r w:rsidRPr="009E35DB">
        <w:t>Wiele miast wyznacza specjalne miejsca piknikowe z infrastrukturą grillową. W Gdyni na przykład w 2025 roku odnotowano ponad 2800 rezerwacji miejskich miejsc piknikowych. Warto zarezerwować miejsce z wyprzedzeniem – szczególnie w długi weekend.</w:t>
      </w:r>
      <w:r w:rsidR="009E35DB">
        <w:t xml:space="preserve"> </w:t>
      </w:r>
      <w:r w:rsidRPr="009E35DB">
        <w:t>Jeśli planujesz grillowanie w terenie miejskim poza wyznaczonym miejscem: sprawdź regulamin parku. W wielu miastach trzeba też z wyprzedzeniem poinformować Straż Pożarną i Straż Miejską. Grill jednorazowy ustawiany bezpośrednio na trawie jest w większości miejsc niedozwolony.</w:t>
      </w:r>
    </w:p>
    <w:p w14:paraId="065CE76F" w14:textId="77777777" w:rsidR="00750A2B" w:rsidRPr="009E35DB" w:rsidRDefault="00000000" w:rsidP="009E35DB">
      <w:pPr>
        <w:pStyle w:val="Nagwek3"/>
        <w:jc w:val="both"/>
      </w:pPr>
      <w:r w:rsidRPr="009E35DB">
        <w:t>Plaże i tereny nadmorskie</w:t>
      </w:r>
    </w:p>
    <w:p w14:paraId="65BCCE28" w14:textId="77777777" w:rsidR="009E35DB" w:rsidRDefault="009E35DB" w:rsidP="009E35DB">
      <w:pPr>
        <w:pStyle w:val="Nagwek2"/>
        <w:jc w:val="both"/>
        <w:rPr>
          <w:b w:val="0"/>
          <w:bCs w:val="0"/>
          <w:color w:val="auto"/>
          <w:sz w:val="24"/>
          <w:szCs w:val="24"/>
        </w:rPr>
      </w:pPr>
      <w:r w:rsidRPr="009E35DB">
        <w:rPr>
          <w:b w:val="0"/>
          <w:bCs w:val="0"/>
          <w:color w:val="auto"/>
          <w:sz w:val="24"/>
          <w:szCs w:val="24"/>
        </w:rPr>
        <w:t>W Polsce nie obowiązuje jeden ogólnokrajowy zakaz piknikowania czy grillowania na plażach, jednak wiele zależy od lokalnych regulaminów oraz przepisów przeciwpożarowych obowiązujących na danym terenie. Na większości plaż można swobodnie rozłożyć koc, spożywać posiłki czy organizować rodzinny piknik, o ile nie zakłóca się porządku publicznego i nie pozostawia śmieci.</w:t>
      </w:r>
      <w:r w:rsidRPr="009E35DB">
        <w:rPr>
          <w:b w:val="0"/>
          <w:bCs w:val="0"/>
          <w:color w:val="auto"/>
          <w:sz w:val="24"/>
          <w:szCs w:val="24"/>
        </w:rPr>
        <w:t xml:space="preserve"> </w:t>
      </w:r>
      <w:r w:rsidRPr="009E35DB">
        <w:rPr>
          <w:b w:val="0"/>
          <w:bCs w:val="0"/>
          <w:color w:val="auto"/>
          <w:sz w:val="24"/>
          <w:szCs w:val="24"/>
        </w:rPr>
        <w:t xml:space="preserve">Znacznie bardziej restrykcyjne przepisy dotyczą rozpalania ognia. </w:t>
      </w:r>
    </w:p>
    <w:p w14:paraId="51B583C5" w14:textId="7475C96A" w:rsidR="009E35DB" w:rsidRPr="009E35DB" w:rsidRDefault="009E35DB" w:rsidP="009E35DB">
      <w:pPr>
        <w:pStyle w:val="Nagwek2"/>
        <w:jc w:val="both"/>
        <w:rPr>
          <w:b w:val="0"/>
          <w:bCs w:val="0"/>
          <w:color w:val="auto"/>
          <w:sz w:val="24"/>
          <w:szCs w:val="24"/>
        </w:rPr>
      </w:pPr>
      <w:r w:rsidRPr="009E35DB">
        <w:rPr>
          <w:b w:val="0"/>
          <w:bCs w:val="0"/>
          <w:color w:val="auto"/>
          <w:sz w:val="24"/>
          <w:szCs w:val="24"/>
        </w:rPr>
        <w:lastRenderedPageBreak/>
        <w:t xml:space="preserve">Grillowanie, używanie grilli jednorazowych czy rozpalanie ognisk na plażach i wydmach bardzo często jest zabronione lub wymaga wcześniejszej zgody zarządcy terenu albo Urzędu Morskiego. Szczególną ochroną objęte są wydmy oraz tereny leśne znajdujące się w pobliżu plaż </w:t>
      </w:r>
      <w:r w:rsidRPr="009E35DB">
        <w:rPr>
          <w:b w:val="0"/>
          <w:bCs w:val="0"/>
          <w:color w:val="auto"/>
          <w:sz w:val="24"/>
          <w:szCs w:val="24"/>
        </w:rPr>
        <w:t>-</w:t>
      </w:r>
      <w:r w:rsidRPr="009E35DB">
        <w:rPr>
          <w:b w:val="0"/>
          <w:bCs w:val="0"/>
          <w:color w:val="auto"/>
          <w:sz w:val="24"/>
          <w:szCs w:val="24"/>
        </w:rPr>
        <w:t xml:space="preserve"> tam obowiązują dodatkowe przepisy przeciwpożarowe.</w:t>
      </w:r>
    </w:p>
    <w:p w14:paraId="2CE0C268" w14:textId="77777777" w:rsidR="009E35DB" w:rsidRPr="009E35DB" w:rsidRDefault="009E35DB" w:rsidP="009E35DB">
      <w:pPr>
        <w:pStyle w:val="Nagwek2"/>
        <w:jc w:val="both"/>
        <w:rPr>
          <w:b w:val="0"/>
          <w:bCs w:val="0"/>
          <w:color w:val="auto"/>
          <w:sz w:val="24"/>
          <w:szCs w:val="24"/>
        </w:rPr>
      </w:pPr>
      <w:r w:rsidRPr="009E35DB">
        <w:rPr>
          <w:b w:val="0"/>
          <w:bCs w:val="0"/>
          <w:color w:val="auto"/>
          <w:sz w:val="24"/>
          <w:szCs w:val="24"/>
        </w:rPr>
        <w:t>Warto pamiętać także o kilku praktycznych zasadach:</w:t>
      </w:r>
    </w:p>
    <w:p w14:paraId="15F03295" w14:textId="77777777" w:rsidR="009E35DB" w:rsidRPr="009E35DB" w:rsidRDefault="009E35DB" w:rsidP="009E35DB">
      <w:pPr>
        <w:pStyle w:val="Nagwek2"/>
        <w:numPr>
          <w:ilvl w:val="0"/>
          <w:numId w:val="3"/>
        </w:numPr>
        <w:jc w:val="both"/>
        <w:rPr>
          <w:b w:val="0"/>
          <w:bCs w:val="0"/>
          <w:color w:val="auto"/>
          <w:sz w:val="24"/>
          <w:szCs w:val="24"/>
        </w:rPr>
      </w:pPr>
      <w:r w:rsidRPr="009E35DB">
        <w:rPr>
          <w:b w:val="0"/>
          <w:bCs w:val="0"/>
          <w:color w:val="auto"/>
          <w:sz w:val="24"/>
          <w:szCs w:val="24"/>
        </w:rPr>
        <w:t>nie należy rozstawiać parawanów i sprzętu w sposób utrudniający przejście lub dostęp do wody,</w:t>
      </w:r>
    </w:p>
    <w:p w14:paraId="3AD14E9A" w14:textId="77777777" w:rsidR="009E35DB" w:rsidRPr="009E35DB" w:rsidRDefault="009E35DB" w:rsidP="009E35DB">
      <w:pPr>
        <w:pStyle w:val="Nagwek2"/>
        <w:numPr>
          <w:ilvl w:val="0"/>
          <w:numId w:val="3"/>
        </w:numPr>
        <w:jc w:val="both"/>
        <w:rPr>
          <w:b w:val="0"/>
          <w:bCs w:val="0"/>
          <w:color w:val="auto"/>
          <w:sz w:val="24"/>
          <w:szCs w:val="24"/>
        </w:rPr>
      </w:pPr>
      <w:r w:rsidRPr="009E35DB">
        <w:rPr>
          <w:b w:val="0"/>
          <w:bCs w:val="0"/>
          <w:color w:val="auto"/>
          <w:sz w:val="24"/>
          <w:szCs w:val="24"/>
        </w:rPr>
        <w:t>na wielu plażach obowiązują ograniczenia dotyczące obecności psów w sezonie letnim,</w:t>
      </w:r>
    </w:p>
    <w:p w14:paraId="0AC146EF" w14:textId="77777777" w:rsidR="009E35DB" w:rsidRPr="009E35DB" w:rsidRDefault="009E35DB" w:rsidP="009E35DB">
      <w:pPr>
        <w:pStyle w:val="Nagwek2"/>
        <w:numPr>
          <w:ilvl w:val="0"/>
          <w:numId w:val="3"/>
        </w:numPr>
        <w:jc w:val="both"/>
        <w:rPr>
          <w:b w:val="0"/>
          <w:bCs w:val="0"/>
          <w:color w:val="auto"/>
          <w:sz w:val="24"/>
          <w:szCs w:val="24"/>
        </w:rPr>
      </w:pPr>
      <w:r w:rsidRPr="009E35DB">
        <w:rPr>
          <w:b w:val="0"/>
          <w:bCs w:val="0"/>
          <w:color w:val="auto"/>
          <w:sz w:val="24"/>
          <w:szCs w:val="24"/>
        </w:rPr>
        <w:t>głośna muzyka i organizowanie imprez mogą skończyć się interwencją straży miejskiej,</w:t>
      </w:r>
    </w:p>
    <w:p w14:paraId="33CB0243" w14:textId="77777777" w:rsidR="009E35DB" w:rsidRPr="009E35DB" w:rsidRDefault="009E35DB" w:rsidP="009E35DB">
      <w:pPr>
        <w:pStyle w:val="Nagwek2"/>
        <w:numPr>
          <w:ilvl w:val="0"/>
          <w:numId w:val="3"/>
        </w:numPr>
        <w:jc w:val="both"/>
        <w:rPr>
          <w:b w:val="0"/>
          <w:bCs w:val="0"/>
          <w:color w:val="auto"/>
          <w:sz w:val="24"/>
          <w:szCs w:val="24"/>
        </w:rPr>
      </w:pPr>
      <w:r w:rsidRPr="009E35DB">
        <w:rPr>
          <w:b w:val="0"/>
          <w:bCs w:val="0"/>
          <w:color w:val="auto"/>
          <w:sz w:val="24"/>
          <w:szCs w:val="24"/>
        </w:rPr>
        <w:t>pozostawienie śmieci lub niedopałków może skutkować mandatem.</w:t>
      </w:r>
    </w:p>
    <w:p w14:paraId="5A0648E6" w14:textId="77777777" w:rsidR="009E35DB" w:rsidRPr="009E35DB" w:rsidRDefault="009E35DB" w:rsidP="009E35DB">
      <w:pPr>
        <w:pStyle w:val="Nagwek2"/>
        <w:jc w:val="both"/>
        <w:rPr>
          <w:b w:val="0"/>
          <w:bCs w:val="0"/>
          <w:color w:val="auto"/>
          <w:sz w:val="24"/>
          <w:szCs w:val="24"/>
        </w:rPr>
      </w:pPr>
      <w:r w:rsidRPr="009E35DB">
        <w:rPr>
          <w:b w:val="0"/>
          <w:bCs w:val="0"/>
          <w:color w:val="auto"/>
          <w:sz w:val="24"/>
          <w:szCs w:val="24"/>
        </w:rPr>
        <w:t>Najbezpieczniejszym rozwiązaniem pozostaje korzystanie z wyznaczonych stref piknikowych i miejsc do grillowania znajdujących się przy plażach lub promenadach.</w:t>
      </w:r>
    </w:p>
    <w:p w14:paraId="3D77EF73" w14:textId="698CCFA1" w:rsidR="00750A2B" w:rsidRPr="009E35DB" w:rsidRDefault="00000000" w:rsidP="009E35DB">
      <w:pPr>
        <w:pStyle w:val="Nagwek2"/>
        <w:jc w:val="both"/>
        <w:rPr>
          <w:sz w:val="24"/>
          <w:szCs w:val="24"/>
        </w:rPr>
      </w:pPr>
      <w:r w:rsidRPr="009E35DB">
        <w:rPr>
          <w:sz w:val="24"/>
          <w:szCs w:val="24"/>
        </w:rPr>
        <w:t>Piknik bez ognia? To może być najlepszy rodzaj pikniku</w:t>
      </w:r>
    </w:p>
    <w:p w14:paraId="3D29D150" w14:textId="77777777" w:rsidR="00750A2B" w:rsidRPr="009E35DB" w:rsidRDefault="00000000" w:rsidP="009E35DB">
      <w:pPr>
        <w:spacing w:after="180" w:line="276" w:lineRule="auto"/>
        <w:jc w:val="both"/>
      </w:pPr>
      <w:r w:rsidRPr="009E35DB">
        <w:t>Niekoniecznie potrzebujesz grilla, żeby piknik był udany. Wręcz przeciwnie – piknik bez gotowania jest szybszy, lżejszy i można go zorganizować niemal wszędzie.</w:t>
      </w:r>
    </w:p>
    <w:p w14:paraId="084FCF4B" w14:textId="77777777" w:rsidR="00750A2B" w:rsidRPr="009E35DB" w:rsidRDefault="00000000" w:rsidP="009E35DB">
      <w:pPr>
        <w:spacing w:after="180" w:line="276" w:lineRule="auto"/>
        <w:jc w:val="both"/>
      </w:pPr>
      <w:r w:rsidRPr="009E35DB">
        <w:t>Co zabrać? Prosta zasada: coś słonego, coś świeżego i coś słodkiego. Pieczywo, pasty, warzywa, owoce, ser – to klasyka. I na deser coś, czego nikt się nie spodziewa.</w:t>
      </w:r>
    </w:p>
    <w:p w14:paraId="78D032EE" w14:textId="77777777" w:rsidR="00750A2B" w:rsidRPr="009E35DB" w:rsidRDefault="00000000" w:rsidP="009E35DB">
      <w:pPr>
        <w:spacing w:after="180" w:line="276" w:lineRule="auto"/>
        <w:jc w:val="both"/>
      </w:pPr>
      <w:r w:rsidRPr="009E35DB">
        <w:t>Tu sprawdzi się CHILLBERRY – mrożone owoce w prawdziwej czekoladzie, które można zabrać w torbie izotermicznej. Chłodny owoc, chrupiąca czekolada i orzeźwienie w gorący dzień – lepszego zakończenia pikniku chyba nie ma.</w:t>
      </w:r>
    </w:p>
    <w:p w14:paraId="663EC7A0" w14:textId="77777777" w:rsidR="00750A2B" w:rsidRPr="009E35DB" w:rsidRDefault="00000000" w:rsidP="009E35DB">
      <w:pPr>
        <w:pStyle w:val="Nagwek2"/>
        <w:jc w:val="both"/>
        <w:rPr>
          <w:sz w:val="24"/>
          <w:szCs w:val="24"/>
        </w:rPr>
      </w:pPr>
      <w:r w:rsidRPr="009E35DB">
        <w:rPr>
          <w:sz w:val="24"/>
          <w:szCs w:val="24"/>
        </w:rPr>
        <w:t>Checklista piknikowa – co zabrać?</w:t>
      </w:r>
    </w:p>
    <w:p w14:paraId="117D2603" w14:textId="77777777" w:rsidR="00750A2B" w:rsidRPr="009E35DB" w:rsidRDefault="00000000" w:rsidP="009E35DB">
      <w:pPr>
        <w:pStyle w:val="Nagwek3"/>
        <w:jc w:val="both"/>
      </w:pPr>
      <w:r w:rsidRPr="009E35DB">
        <w:t>Podstawy</w:t>
      </w:r>
    </w:p>
    <w:p w14:paraId="0927EF40" w14:textId="77777777" w:rsidR="00750A2B" w:rsidRPr="009E35DB" w:rsidRDefault="00000000" w:rsidP="009E35DB">
      <w:pPr>
        <w:pStyle w:val="Akapitzlist"/>
        <w:numPr>
          <w:ilvl w:val="0"/>
          <w:numId w:val="2"/>
        </w:numPr>
        <w:spacing w:after="120"/>
        <w:jc w:val="both"/>
      </w:pPr>
      <w:r w:rsidRPr="009E35DB">
        <w:t>Koc lub mata piknikowa (wodoodporna od spodu to wielka przewaga)</w:t>
      </w:r>
    </w:p>
    <w:p w14:paraId="5C121987" w14:textId="77777777" w:rsidR="00750A2B" w:rsidRPr="009E35DB" w:rsidRDefault="00000000" w:rsidP="009E35DB">
      <w:pPr>
        <w:pStyle w:val="Akapitzlist"/>
        <w:numPr>
          <w:ilvl w:val="0"/>
          <w:numId w:val="2"/>
        </w:numPr>
        <w:spacing w:after="120"/>
        <w:jc w:val="both"/>
      </w:pPr>
      <w:r w:rsidRPr="009E35DB">
        <w:t>Torba termiczna lub mały pojemnik z lodem do napojów i przekąsek mrożonych</w:t>
      </w:r>
    </w:p>
    <w:p w14:paraId="3D6A417C" w14:textId="77777777" w:rsidR="00750A2B" w:rsidRPr="009E35DB" w:rsidRDefault="00000000" w:rsidP="009E35DB">
      <w:pPr>
        <w:pStyle w:val="Akapitzlist"/>
        <w:numPr>
          <w:ilvl w:val="0"/>
          <w:numId w:val="2"/>
        </w:numPr>
        <w:spacing w:after="120"/>
        <w:jc w:val="both"/>
      </w:pPr>
      <w:r w:rsidRPr="009E35DB">
        <w:t>Sztućce wielokrotnego użytku lub biodegradowalne</w:t>
      </w:r>
    </w:p>
    <w:p w14:paraId="305F0C09" w14:textId="77777777" w:rsidR="00750A2B" w:rsidRPr="009E35DB" w:rsidRDefault="00000000" w:rsidP="009E35DB">
      <w:pPr>
        <w:pStyle w:val="Akapitzlist"/>
        <w:numPr>
          <w:ilvl w:val="0"/>
          <w:numId w:val="2"/>
        </w:numPr>
        <w:spacing w:after="120"/>
        <w:jc w:val="both"/>
      </w:pPr>
      <w:r w:rsidRPr="009E35DB">
        <w:t>Miseczki lub pojemniki z pokrywką</w:t>
      </w:r>
    </w:p>
    <w:p w14:paraId="495D94E1" w14:textId="77777777" w:rsidR="00750A2B" w:rsidRPr="009E35DB" w:rsidRDefault="00000000" w:rsidP="009E35DB">
      <w:pPr>
        <w:pStyle w:val="Akapitzlist"/>
        <w:numPr>
          <w:ilvl w:val="0"/>
          <w:numId w:val="2"/>
        </w:numPr>
        <w:spacing w:after="120"/>
        <w:jc w:val="both"/>
      </w:pPr>
      <w:r w:rsidRPr="009E35DB">
        <w:t>Serwetki i worki na śmieci</w:t>
      </w:r>
    </w:p>
    <w:p w14:paraId="26254CE3" w14:textId="77777777" w:rsidR="00750A2B" w:rsidRPr="009E35DB" w:rsidRDefault="00000000" w:rsidP="009E35DB">
      <w:pPr>
        <w:pStyle w:val="Nagwek3"/>
        <w:jc w:val="both"/>
      </w:pPr>
      <w:r w:rsidRPr="009E35DB">
        <w:t>Jedzenie na piknik – co się sprawdza?</w:t>
      </w:r>
    </w:p>
    <w:p w14:paraId="00036F72" w14:textId="77777777" w:rsidR="00750A2B" w:rsidRPr="009E35DB" w:rsidRDefault="00000000" w:rsidP="009E35DB">
      <w:pPr>
        <w:pStyle w:val="Akapitzlist"/>
        <w:numPr>
          <w:ilvl w:val="0"/>
          <w:numId w:val="2"/>
        </w:numPr>
        <w:spacing w:after="120"/>
        <w:jc w:val="both"/>
      </w:pPr>
      <w:r w:rsidRPr="009E35DB">
        <w:t>Kanapki lub wrapy – najlepiej spakowane osobno, żeby nie nasiąkły</w:t>
      </w:r>
    </w:p>
    <w:p w14:paraId="1ED706C3" w14:textId="77777777" w:rsidR="00750A2B" w:rsidRPr="009E35DB" w:rsidRDefault="00000000" w:rsidP="009E35DB">
      <w:pPr>
        <w:pStyle w:val="Akapitzlist"/>
        <w:numPr>
          <w:ilvl w:val="0"/>
          <w:numId w:val="2"/>
        </w:numPr>
        <w:spacing w:after="120"/>
        <w:jc w:val="both"/>
      </w:pPr>
      <w:r w:rsidRPr="009E35DB">
        <w:t>Warzywa i dipy – hummus, tzatziki, guacamole</w:t>
      </w:r>
    </w:p>
    <w:p w14:paraId="3A2B2FF9" w14:textId="77777777" w:rsidR="00750A2B" w:rsidRPr="009E35DB" w:rsidRDefault="00000000" w:rsidP="009E35DB">
      <w:pPr>
        <w:pStyle w:val="Akapitzlist"/>
        <w:numPr>
          <w:ilvl w:val="0"/>
          <w:numId w:val="2"/>
        </w:numPr>
        <w:spacing w:after="120"/>
        <w:jc w:val="both"/>
      </w:pPr>
      <w:r w:rsidRPr="009E35DB">
        <w:t>Owoce gotowe do jedzenia – winogrona, truskawki, plastry arbuza</w:t>
      </w:r>
    </w:p>
    <w:p w14:paraId="0B18E5FB" w14:textId="77777777" w:rsidR="00750A2B" w:rsidRPr="009E35DB" w:rsidRDefault="00000000" w:rsidP="009E35DB">
      <w:pPr>
        <w:pStyle w:val="Nagwek3"/>
        <w:jc w:val="both"/>
      </w:pPr>
      <w:r w:rsidRPr="009E35DB">
        <w:lastRenderedPageBreak/>
        <w:t>Czego nie zapomnieć?</w:t>
      </w:r>
    </w:p>
    <w:p w14:paraId="553B72AC" w14:textId="77777777" w:rsidR="00750A2B" w:rsidRPr="009E35DB" w:rsidRDefault="00000000" w:rsidP="009E35DB">
      <w:pPr>
        <w:pStyle w:val="Akapitzlist"/>
        <w:numPr>
          <w:ilvl w:val="0"/>
          <w:numId w:val="2"/>
        </w:numPr>
        <w:spacing w:after="120"/>
        <w:jc w:val="both"/>
      </w:pPr>
      <w:r w:rsidRPr="009E35DB">
        <w:t>Środek na owady i krem z filtrem</w:t>
      </w:r>
    </w:p>
    <w:p w14:paraId="64AB1BEE" w14:textId="77777777" w:rsidR="00750A2B" w:rsidRPr="009E35DB" w:rsidRDefault="00000000" w:rsidP="009E35DB">
      <w:pPr>
        <w:pStyle w:val="Akapitzlist"/>
        <w:numPr>
          <w:ilvl w:val="0"/>
          <w:numId w:val="2"/>
        </w:numPr>
        <w:spacing w:after="120"/>
        <w:jc w:val="both"/>
      </w:pPr>
      <w:r w:rsidRPr="009E35DB">
        <w:t>Chusteczki nawilżane</w:t>
      </w:r>
    </w:p>
    <w:p w14:paraId="135B6570" w14:textId="77777777" w:rsidR="00750A2B" w:rsidRPr="009E35DB" w:rsidRDefault="00000000" w:rsidP="009E35DB">
      <w:pPr>
        <w:pStyle w:val="Akapitzlist"/>
        <w:numPr>
          <w:ilvl w:val="0"/>
          <w:numId w:val="2"/>
        </w:numPr>
        <w:spacing w:after="120"/>
        <w:jc w:val="both"/>
      </w:pPr>
      <w:r w:rsidRPr="009E35DB">
        <w:t>Lekka chusta lub parasol na wypadek słońca lub lekkiego deszczu</w:t>
      </w:r>
    </w:p>
    <w:p w14:paraId="344F2359" w14:textId="77777777" w:rsidR="00750A2B" w:rsidRPr="009E35DB" w:rsidRDefault="00000000" w:rsidP="009E35DB">
      <w:pPr>
        <w:pStyle w:val="Akapitzlist"/>
        <w:numPr>
          <w:ilvl w:val="0"/>
          <w:numId w:val="2"/>
        </w:numPr>
        <w:spacing w:after="120"/>
        <w:jc w:val="both"/>
      </w:pPr>
      <w:r w:rsidRPr="009E35DB">
        <w:t>Naładowany telefon – ale może na chwilę odłóż go na koc</w:t>
      </w:r>
    </w:p>
    <w:p w14:paraId="5B0BE6DF" w14:textId="77777777" w:rsidR="00750A2B" w:rsidRPr="009E35DB" w:rsidRDefault="00000000" w:rsidP="009E35DB">
      <w:pPr>
        <w:pStyle w:val="Nagwek2"/>
        <w:jc w:val="both"/>
        <w:rPr>
          <w:sz w:val="24"/>
          <w:szCs w:val="24"/>
        </w:rPr>
      </w:pPr>
      <w:r w:rsidRPr="009E35DB">
        <w:rPr>
          <w:sz w:val="24"/>
          <w:szCs w:val="24"/>
        </w:rPr>
        <w:t>Złota zasada pikniku</w:t>
      </w:r>
    </w:p>
    <w:p w14:paraId="72A4D52C" w14:textId="77777777" w:rsidR="00750A2B" w:rsidRPr="009E35DB" w:rsidRDefault="00000000" w:rsidP="009E35DB">
      <w:pPr>
        <w:spacing w:after="180" w:line="276" w:lineRule="auto"/>
        <w:jc w:val="both"/>
      </w:pPr>
      <w:r w:rsidRPr="009E35DB">
        <w:t xml:space="preserve">Zostaw miejsce w lepszym </w:t>
      </w:r>
      <w:r w:rsidR="008E3DB8" w:rsidRPr="009E35DB">
        <w:t>stanie</w:t>
      </w:r>
      <w:r w:rsidRPr="009E35DB">
        <w:t xml:space="preserve"> niż je zastałeś. Zbierz śmieci po sobie. </w:t>
      </w:r>
      <w:r w:rsidR="008E3DB8" w:rsidRPr="009E35DB">
        <w:t>Jedyne, a wręcz wskazane ślady po p</w:t>
      </w:r>
      <w:r w:rsidRPr="009E35DB">
        <w:t>iknik</w:t>
      </w:r>
      <w:r w:rsidR="008E3DB8" w:rsidRPr="009E35DB">
        <w:t>u, to dobre</w:t>
      </w:r>
      <w:r w:rsidRPr="009E35DB">
        <w:t xml:space="preserve"> wspomnienia.</w:t>
      </w:r>
    </w:p>
    <w:sectPr w:rsidR="00750A2B" w:rsidRPr="009E35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0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A37BF"/>
    <w:multiLevelType w:val="hybridMultilevel"/>
    <w:tmpl w:val="C8D8B9DE"/>
    <w:lvl w:ilvl="0" w:tplc="EB025FC8">
      <w:start w:val="1"/>
      <w:numFmt w:val="bullet"/>
      <w:lvlText w:val="•"/>
      <w:lvlJc w:val="left"/>
      <w:pPr>
        <w:ind w:left="720" w:hanging="360"/>
      </w:pPr>
    </w:lvl>
    <w:lvl w:ilvl="1" w:tplc="0686B8CC">
      <w:numFmt w:val="decimal"/>
      <w:lvlText w:val=""/>
      <w:lvlJc w:val="left"/>
    </w:lvl>
    <w:lvl w:ilvl="2" w:tplc="E33891EC">
      <w:numFmt w:val="decimal"/>
      <w:lvlText w:val=""/>
      <w:lvlJc w:val="left"/>
    </w:lvl>
    <w:lvl w:ilvl="3" w:tplc="B0203436">
      <w:numFmt w:val="decimal"/>
      <w:lvlText w:val=""/>
      <w:lvlJc w:val="left"/>
    </w:lvl>
    <w:lvl w:ilvl="4" w:tplc="5CFA7C3C">
      <w:numFmt w:val="decimal"/>
      <w:lvlText w:val=""/>
      <w:lvlJc w:val="left"/>
    </w:lvl>
    <w:lvl w:ilvl="5" w:tplc="6988DEEE">
      <w:numFmt w:val="decimal"/>
      <w:lvlText w:val=""/>
      <w:lvlJc w:val="left"/>
    </w:lvl>
    <w:lvl w:ilvl="6" w:tplc="0D8AADD0">
      <w:numFmt w:val="decimal"/>
      <w:lvlText w:val=""/>
      <w:lvlJc w:val="left"/>
    </w:lvl>
    <w:lvl w:ilvl="7" w:tplc="71D4463E">
      <w:numFmt w:val="decimal"/>
      <w:lvlText w:val=""/>
      <w:lvlJc w:val="left"/>
    </w:lvl>
    <w:lvl w:ilvl="8" w:tplc="1BB07704">
      <w:numFmt w:val="decimal"/>
      <w:lvlText w:val=""/>
      <w:lvlJc w:val="left"/>
    </w:lvl>
  </w:abstractNum>
  <w:abstractNum w:abstractNumId="1" w15:restartNumberingAfterBreak="0">
    <w:nsid w:val="2C6B51F5"/>
    <w:multiLevelType w:val="hybridMultilevel"/>
    <w:tmpl w:val="E8CA1E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97E3909"/>
    <w:multiLevelType w:val="hybridMultilevel"/>
    <w:tmpl w:val="BAD27DDE"/>
    <w:lvl w:ilvl="0" w:tplc="538C90C8">
      <w:start w:val="1"/>
      <w:numFmt w:val="bullet"/>
      <w:lvlText w:val="●"/>
      <w:lvlJc w:val="left"/>
      <w:pPr>
        <w:ind w:left="720" w:hanging="360"/>
      </w:pPr>
    </w:lvl>
    <w:lvl w:ilvl="1" w:tplc="EF449366">
      <w:start w:val="1"/>
      <w:numFmt w:val="bullet"/>
      <w:lvlText w:val="○"/>
      <w:lvlJc w:val="left"/>
      <w:pPr>
        <w:ind w:left="1440" w:hanging="360"/>
      </w:pPr>
    </w:lvl>
    <w:lvl w:ilvl="2" w:tplc="529ED0B4">
      <w:start w:val="1"/>
      <w:numFmt w:val="bullet"/>
      <w:lvlText w:val="■"/>
      <w:lvlJc w:val="left"/>
      <w:pPr>
        <w:ind w:left="2160" w:hanging="360"/>
      </w:pPr>
    </w:lvl>
    <w:lvl w:ilvl="3" w:tplc="255CC5C6">
      <w:start w:val="1"/>
      <w:numFmt w:val="bullet"/>
      <w:lvlText w:val="●"/>
      <w:lvlJc w:val="left"/>
      <w:pPr>
        <w:ind w:left="2880" w:hanging="360"/>
      </w:pPr>
    </w:lvl>
    <w:lvl w:ilvl="4" w:tplc="F4D65F72">
      <w:start w:val="1"/>
      <w:numFmt w:val="bullet"/>
      <w:lvlText w:val="○"/>
      <w:lvlJc w:val="left"/>
      <w:pPr>
        <w:ind w:left="3600" w:hanging="360"/>
      </w:pPr>
    </w:lvl>
    <w:lvl w:ilvl="5" w:tplc="FC8C3B82">
      <w:start w:val="1"/>
      <w:numFmt w:val="bullet"/>
      <w:lvlText w:val="■"/>
      <w:lvlJc w:val="left"/>
      <w:pPr>
        <w:ind w:left="4320" w:hanging="360"/>
      </w:pPr>
    </w:lvl>
    <w:lvl w:ilvl="6" w:tplc="69567200">
      <w:start w:val="1"/>
      <w:numFmt w:val="bullet"/>
      <w:lvlText w:val="●"/>
      <w:lvlJc w:val="left"/>
      <w:pPr>
        <w:ind w:left="5040" w:hanging="360"/>
      </w:pPr>
    </w:lvl>
    <w:lvl w:ilvl="7" w:tplc="C8563862">
      <w:start w:val="1"/>
      <w:numFmt w:val="bullet"/>
      <w:lvlText w:val="●"/>
      <w:lvlJc w:val="left"/>
      <w:pPr>
        <w:ind w:left="5760" w:hanging="360"/>
      </w:pPr>
    </w:lvl>
    <w:lvl w:ilvl="8" w:tplc="556A438C">
      <w:start w:val="1"/>
      <w:numFmt w:val="bullet"/>
      <w:lvlText w:val="●"/>
      <w:lvlJc w:val="left"/>
      <w:pPr>
        <w:ind w:left="6480" w:hanging="360"/>
      </w:pPr>
    </w:lvl>
  </w:abstractNum>
  <w:num w:numId="1" w16cid:durableId="861240324">
    <w:abstractNumId w:val="2"/>
    <w:lvlOverride w:ilvl="0">
      <w:startOverride w:val="1"/>
    </w:lvlOverride>
  </w:num>
  <w:num w:numId="2" w16cid:durableId="635375886">
    <w:abstractNumId w:val="0"/>
    <w:lvlOverride w:ilvl="0">
      <w:startOverride w:val="1"/>
    </w:lvlOverride>
  </w:num>
  <w:num w:numId="3" w16cid:durableId="1234201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A2B"/>
    <w:rsid w:val="00750A2B"/>
    <w:rsid w:val="00784BF4"/>
    <w:rsid w:val="008E3DB8"/>
    <w:rsid w:val="009555A3"/>
    <w:rsid w:val="009E35DB"/>
    <w:rsid w:val="00D823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AA700"/>
  <w15:docId w15:val="{AE44523A-402D-F44B-B70E-5F2B80A23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spacing w:before="360" w:after="240"/>
      <w:outlineLvl w:val="0"/>
    </w:pPr>
    <w:rPr>
      <w:b/>
      <w:bCs/>
      <w:color w:val="1A1A1A"/>
      <w:sz w:val="36"/>
      <w:szCs w:val="36"/>
    </w:rPr>
  </w:style>
  <w:style w:type="paragraph" w:styleId="Nagwek2">
    <w:name w:val="heading 2"/>
    <w:uiPriority w:val="9"/>
    <w:unhideWhenUsed/>
    <w:qFormat/>
    <w:pPr>
      <w:spacing w:before="280" w:after="160"/>
      <w:outlineLvl w:val="1"/>
    </w:pPr>
    <w:rPr>
      <w:b/>
      <w:bCs/>
      <w:color w:val="1A1A1A"/>
      <w:sz w:val="28"/>
      <w:szCs w:val="28"/>
    </w:rPr>
  </w:style>
  <w:style w:type="paragraph" w:styleId="Nagwek3">
    <w:name w:val="heading 3"/>
    <w:uiPriority w:val="9"/>
    <w:unhideWhenUsed/>
    <w:qFormat/>
    <w:pPr>
      <w:spacing w:before="220" w:after="120"/>
      <w:outlineLvl w:val="2"/>
    </w:pPr>
    <w:rPr>
      <w:b/>
      <w:bCs/>
      <w:color w:val="44444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rPr>
      <w:sz w:val="20"/>
      <w:szCs w:val="20"/>
    </w:rPr>
  </w:style>
  <w:style w:type="character" w:customStyle="1" w:styleId="TekstprzypisudolnegoZnak">
    <w:name w:val="Tekst przypisu dolnego Znak"/>
    <w:link w:val="Tekstprzypisudolnego"/>
    <w:uiPriority w:val="99"/>
    <w:semiHidden/>
    <w:unhideWhenUsed/>
    <w:rPr>
      <w:sz w:val="20"/>
      <w:szCs w:val="20"/>
    </w:rPr>
  </w:style>
  <w:style w:type="character" w:styleId="Odwoanieprzypisukocowego">
    <w:name w:val="endnote reference"/>
    <w:uiPriority w:val="99"/>
    <w:semiHidden/>
    <w:unhideWhenUsed/>
    <w:rPr>
      <w:vertAlign w:val="superscript"/>
    </w:rPr>
  </w:style>
  <w:style w:type="paragraph" w:styleId="Tekstprzypisukocowego">
    <w:name w:val="endnote text"/>
    <w:link w:val="TekstprzypisukocowegoZnak"/>
    <w:uiPriority w:val="99"/>
    <w:semiHidden/>
    <w:unhideWhenUsed/>
    <w:rPr>
      <w:sz w:val="20"/>
      <w:szCs w:val="20"/>
    </w:rPr>
  </w:style>
  <w:style w:type="character" w:customStyle="1" w:styleId="TekstprzypisukocowegoZnak">
    <w:name w:val="Tekst przypisu końcowego Znak"/>
    <w:link w:val="Tekstprzypisukocowego"/>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706</Words>
  <Characters>4239</Characters>
  <Application>Microsoft Office Word</Application>
  <DocSecurity>0</DocSecurity>
  <Lines>35</Lines>
  <Paragraphs>9</Paragraphs>
  <ScaleCrop>false</ScaleCrop>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Anna Goławska</cp:lastModifiedBy>
  <cp:revision>5</cp:revision>
  <dcterms:created xsi:type="dcterms:W3CDTF">2026-06-02T11:50:00Z</dcterms:created>
  <dcterms:modified xsi:type="dcterms:W3CDTF">2026-06-03T12:51:00Z</dcterms:modified>
</cp:coreProperties>
</file>