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AD5FE" w14:textId="77777777" w:rsidR="004D3288" w:rsidRDefault="00000000">
      <w:pPr>
        <w:pStyle w:val="Nagwek1"/>
        <w:rPr>
          <w:rFonts w:asciiTheme="minorHAnsi" w:hAnsiTheme="minorHAnsi" w:cstheme="minorHAnsi"/>
          <w:sz w:val="32"/>
          <w:szCs w:val="32"/>
        </w:rPr>
      </w:pPr>
      <w:r>
        <w:rPr>
          <w:rFonts w:asciiTheme="minorHAnsi" w:hAnsiTheme="minorHAnsi" w:cstheme="minorHAnsi"/>
          <w:sz w:val="32"/>
          <w:szCs w:val="32"/>
        </w:rPr>
        <w:t>Cena zakupu czy koszt w cyklu życia: jak inwestor powinien liczyć koszt kuchni?</w:t>
      </w:r>
    </w:p>
    <w:p w14:paraId="52D0572D" w14:textId="77777777" w:rsidR="004D3288" w:rsidRDefault="00000000">
      <w:pPr>
        <w:spacing w:before="120" w:after="240"/>
        <w:jc w:val="both"/>
        <w:rPr>
          <w:rFonts w:asciiTheme="minorHAnsi" w:eastAsia="Georgia" w:hAnsiTheme="minorHAnsi" w:cstheme="minorHAnsi"/>
          <w:sz w:val="24"/>
          <w:szCs w:val="24"/>
        </w:rPr>
      </w:pPr>
      <w:r>
        <w:rPr>
          <w:rFonts w:eastAsia="Georgia" w:cstheme="minorHAnsi"/>
          <w:sz w:val="24"/>
          <w:szCs w:val="24"/>
        </w:rPr>
        <w:t>Wielu inwestorów i deweloperów porównuje kuchnie tak samo, jak porównuje się ceny paliwa na stacji: patrząc na kwotę do zapłaty tu i teraz. Tymczasem prawdziwy koszt kuchni w projekcie inwestycyjnym ujawnia się nie przy zakupie, lecz przez kolejne osiem, dziesięć, piętnaście lat eksploatacji. I ta różnica potrafi być bolesna.</w:t>
      </w:r>
    </w:p>
    <w:p w14:paraId="1DAD3463" w14:textId="77777777" w:rsidR="004D3288" w:rsidRDefault="00000000">
      <w:pPr>
        <w:pStyle w:val="Nagwek2"/>
        <w:rPr>
          <w:rFonts w:asciiTheme="minorHAnsi" w:hAnsiTheme="minorHAnsi" w:cstheme="minorHAnsi"/>
        </w:rPr>
      </w:pPr>
      <w:r>
        <w:rPr>
          <w:rFonts w:asciiTheme="minorHAnsi" w:hAnsiTheme="minorHAnsi" w:cstheme="minorHAnsi"/>
        </w:rPr>
        <w:t>Kosztowny błąd, którego można uniknąć</w:t>
      </w:r>
    </w:p>
    <w:p w14:paraId="18BF880B" w14:textId="77777777" w:rsidR="004D3288" w:rsidRDefault="00000000">
      <w:pPr>
        <w:spacing w:before="80" w:after="120"/>
        <w:jc w:val="both"/>
        <w:rPr>
          <w:rFonts w:asciiTheme="minorHAnsi" w:hAnsiTheme="minorHAnsi" w:cstheme="minorHAnsi"/>
        </w:rPr>
      </w:pPr>
      <w:r>
        <w:rPr>
          <w:rFonts w:cstheme="minorHAnsi"/>
        </w:rPr>
        <w:t>Jest pewien paradoks charakterystyczny dla branży wykończeniowej: im bardziej profesjonalny inwestor, tym bardziej szczegółowym arkuszem kalkulacyjnym operuje. Każda pozycja ma cenę jednostkową i każda jest negocjowana. A mimo to wynik końcowy projektu często odbiega od założeń. Dlaczego?</w:t>
      </w:r>
    </w:p>
    <w:p w14:paraId="06D2CBD1" w14:textId="77777777" w:rsidR="004D3288" w:rsidRDefault="00000000">
      <w:pPr>
        <w:spacing w:before="80" w:after="120"/>
        <w:jc w:val="both"/>
        <w:rPr>
          <w:rFonts w:asciiTheme="minorHAnsi" w:hAnsiTheme="minorHAnsi" w:cstheme="minorHAnsi"/>
        </w:rPr>
      </w:pPr>
      <w:r>
        <w:rPr>
          <w:rFonts w:cstheme="minorHAnsi"/>
        </w:rPr>
        <w:t xml:space="preserve">Bo arkusz liczy koszty zakupu. A nie liczy kosztów użytkowania. W kontekście kuchni ta różnica ma konkretną nazwę: TCO – </w:t>
      </w:r>
      <w:r>
        <w:rPr>
          <w:rFonts w:cstheme="minorHAnsi"/>
          <w:i/>
          <w:iCs/>
        </w:rPr>
        <w:t xml:space="preserve">Total </w:t>
      </w:r>
      <w:proofErr w:type="spellStart"/>
      <w:r>
        <w:rPr>
          <w:rFonts w:cstheme="minorHAnsi"/>
          <w:i/>
          <w:iCs/>
        </w:rPr>
        <w:t>Cost</w:t>
      </w:r>
      <w:proofErr w:type="spellEnd"/>
      <w:r>
        <w:rPr>
          <w:rFonts w:cstheme="minorHAnsi"/>
          <w:i/>
          <w:iCs/>
        </w:rPr>
        <w:t xml:space="preserve"> of </w:t>
      </w:r>
      <w:proofErr w:type="spellStart"/>
      <w:r>
        <w:rPr>
          <w:rFonts w:cstheme="minorHAnsi"/>
          <w:i/>
          <w:iCs/>
        </w:rPr>
        <w:t>Ownership</w:t>
      </w:r>
      <w:proofErr w:type="spellEnd"/>
      <w:r>
        <w:rPr>
          <w:rFonts w:cstheme="minorHAnsi"/>
        </w:rPr>
        <w:t>, czyli całkowity koszt posiadania. To pojęcie dobrze znane w zakupach korporacyjnych (flota samochodowa, sprzęt IT, maszyny produkcyjne), ale wciąż niedoceniane w kontekście wykończenia wnętrz – mimo że mechanizm jest identyczny.</w:t>
      </w:r>
    </w:p>
    <w:p w14:paraId="5FE1BEC8" w14:textId="77777777" w:rsidR="004D3288" w:rsidRDefault="00000000">
      <w:pPr>
        <w:pStyle w:val="Nagwek2"/>
        <w:rPr>
          <w:rFonts w:asciiTheme="minorHAnsi" w:hAnsiTheme="minorHAnsi" w:cstheme="minorHAnsi"/>
        </w:rPr>
      </w:pPr>
      <w:r>
        <w:rPr>
          <w:rFonts w:asciiTheme="minorHAnsi" w:hAnsiTheme="minorHAnsi" w:cstheme="minorHAnsi"/>
        </w:rPr>
        <w:t>Anatomia TCO w kuchni: co naprawdę się na nią składa?</w:t>
      </w:r>
    </w:p>
    <w:p w14:paraId="7260DEC9" w14:textId="77777777" w:rsidR="004D3288" w:rsidRDefault="00000000">
      <w:pPr>
        <w:spacing w:before="80" w:after="120"/>
        <w:jc w:val="both"/>
        <w:rPr>
          <w:rFonts w:asciiTheme="minorHAnsi" w:hAnsiTheme="minorHAnsi" w:cstheme="minorHAnsi"/>
        </w:rPr>
      </w:pPr>
      <w:r>
        <w:rPr>
          <w:rFonts w:cstheme="minorHAnsi"/>
        </w:rPr>
        <w:t>TCO kuchni to suma sześciu kategorii kosztów. Każda z nich jest pomijana przez kogoś innego – dewelopera, architekta lub inwestora indywidualnego. A trzeba wiedzieć, że dopiero razem tworzą pełny obraz.</w:t>
      </w:r>
    </w:p>
    <w:p w14:paraId="094FC6F3" w14:textId="77777777" w:rsidR="004D3288" w:rsidRDefault="00000000">
      <w:pPr>
        <w:spacing w:before="280" w:after="100"/>
        <w:rPr>
          <w:rFonts w:asciiTheme="minorHAnsi" w:hAnsiTheme="minorHAnsi" w:cstheme="minorHAnsi"/>
        </w:rPr>
      </w:pPr>
      <w:r>
        <w:rPr>
          <w:rFonts w:cstheme="minorHAnsi"/>
          <w:b/>
          <w:bCs/>
          <w:sz w:val="24"/>
          <w:szCs w:val="24"/>
        </w:rPr>
        <w:t>1. Koszt zakupu</w:t>
      </w:r>
    </w:p>
    <w:p w14:paraId="54900A8E" w14:textId="77777777" w:rsidR="004D3288" w:rsidRDefault="00000000">
      <w:pPr>
        <w:spacing w:before="80" w:after="120"/>
        <w:jc w:val="both"/>
        <w:rPr>
          <w:rFonts w:asciiTheme="minorHAnsi" w:hAnsiTheme="minorHAnsi" w:cstheme="minorHAnsi"/>
        </w:rPr>
      </w:pPr>
      <w:r>
        <w:rPr>
          <w:rFonts w:cstheme="minorHAnsi"/>
        </w:rPr>
        <w:t>To jedyna kategoria, na którą zwracają uwagę wszyscy bez wyjątku. Cena mebli, blatów, sprzętu AGD, oświetlenia. W projektach deweloperskich często podawana jako „cena metra bieżącego zabudowy”, co jest mylącą metryką: nie uwzględnia ani jakości materiałów, ani systemu przechowywania, ani trwałości mechanizmów.</w:t>
      </w:r>
    </w:p>
    <w:p w14:paraId="34F1BEDB" w14:textId="77777777" w:rsidR="004D3288" w:rsidRDefault="00000000">
      <w:pPr>
        <w:spacing w:before="280" w:after="100"/>
        <w:rPr>
          <w:rFonts w:asciiTheme="minorHAnsi" w:hAnsiTheme="minorHAnsi" w:cstheme="minorHAnsi"/>
        </w:rPr>
      </w:pPr>
      <w:r>
        <w:rPr>
          <w:rFonts w:cstheme="minorHAnsi"/>
          <w:b/>
          <w:bCs/>
          <w:sz w:val="24"/>
          <w:szCs w:val="24"/>
        </w:rPr>
        <w:t>2. Koszt montażu i wykończenia</w:t>
      </w:r>
    </w:p>
    <w:p w14:paraId="3933A629" w14:textId="512B95D1" w:rsidR="004D3288" w:rsidRDefault="00000000">
      <w:pPr>
        <w:spacing w:before="80" w:after="120"/>
        <w:jc w:val="both"/>
        <w:rPr>
          <w:rFonts w:asciiTheme="minorHAnsi" w:hAnsiTheme="minorHAnsi" w:cstheme="minorHAnsi"/>
        </w:rPr>
      </w:pPr>
      <w:r>
        <w:rPr>
          <w:rFonts w:cstheme="minorHAnsi"/>
        </w:rPr>
        <w:t>Ta pozycja jest niemal zawsze niedoszacowana. Tymczasem montaż kuchni stanowi ok. 15-22% wartości mebli i to są rynkowe widełki. Nie warto szukać montażysty „po kosztach”. Źle zamontowana kuchnia to: niedomykające się fronty po 6 miesiącach,  usterki źle zamontowanych prowadnic, pękające spoiny przy blacie, problemy z odpływem. Koszt poprawki wielokrotnie przewyższa koszt różnicy między tanią a dobrą ekipą montażową.</w:t>
      </w:r>
    </w:p>
    <w:p w14:paraId="0D7A3B21" w14:textId="77777777" w:rsidR="004D3288" w:rsidRDefault="00000000">
      <w:pPr>
        <w:spacing w:before="280" w:after="100"/>
        <w:rPr>
          <w:rFonts w:asciiTheme="minorHAnsi" w:hAnsiTheme="minorHAnsi" w:cstheme="minorHAnsi"/>
        </w:rPr>
      </w:pPr>
      <w:r>
        <w:rPr>
          <w:rFonts w:cstheme="minorHAnsi"/>
          <w:b/>
          <w:bCs/>
          <w:sz w:val="24"/>
          <w:szCs w:val="24"/>
        </w:rPr>
        <w:t>3. Koszty serwisowe i reklamacyjne</w:t>
      </w:r>
    </w:p>
    <w:p w14:paraId="253B185D" w14:textId="77777777" w:rsidR="004D3288" w:rsidRDefault="00000000">
      <w:pPr>
        <w:spacing w:before="80" w:after="120"/>
        <w:jc w:val="both"/>
        <w:rPr>
          <w:rFonts w:asciiTheme="minorHAnsi" w:hAnsiTheme="minorHAnsi" w:cstheme="minorHAnsi"/>
        </w:rPr>
      </w:pPr>
      <w:r>
        <w:rPr>
          <w:rFonts w:cstheme="minorHAnsi"/>
        </w:rPr>
        <w:t>To kategoria, której deweloperzy boją się najbardziej – i słusznie. Reklamacja kuchni w lokalu na wynajem lub nowobudowanym domu to nie tylko koszt finansowy. To koszt czasu, dostępności lokalu i relacji z klientem końcowym.</w:t>
      </w:r>
    </w:p>
    <w:p w14:paraId="6722642D" w14:textId="77777777" w:rsidR="004D3288" w:rsidRDefault="00000000">
      <w:pPr>
        <w:spacing w:before="280" w:after="100"/>
        <w:rPr>
          <w:rFonts w:asciiTheme="minorHAnsi" w:hAnsiTheme="minorHAnsi" w:cstheme="minorHAnsi"/>
        </w:rPr>
      </w:pPr>
      <w:r>
        <w:rPr>
          <w:rFonts w:cstheme="minorHAnsi"/>
          <w:b/>
          <w:bCs/>
          <w:sz w:val="24"/>
          <w:szCs w:val="24"/>
        </w:rPr>
        <w:t>4. Koszt utraty wartości i rotacji najemców</w:t>
      </w:r>
    </w:p>
    <w:p w14:paraId="2D69FBA0" w14:textId="77777777" w:rsidR="004D3288" w:rsidRDefault="00000000">
      <w:pPr>
        <w:spacing w:before="80" w:after="120"/>
        <w:jc w:val="both"/>
        <w:rPr>
          <w:rFonts w:asciiTheme="minorHAnsi" w:hAnsiTheme="minorHAnsi" w:cstheme="minorHAnsi"/>
        </w:rPr>
      </w:pPr>
      <w:r>
        <w:rPr>
          <w:rFonts w:cstheme="minorHAnsi"/>
        </w:rPr>
        <w:lastRenderedPageBreak/>
        <w:t>Ta kategoria istnieje tylko w projektach inwestycyjnych i jest permanentnie pomijana. Zły stan kuchni to jeden z głównych powodów, dla których najemca nie przedłuża umowy. Ten sam argument można znaleźć w ponad połowie negatywnych ocen dotyczących stanu lokalu, zamieszczanych np. na Booking.com.</w:t>
      </w:r>
    </w:p>
    <w:p w14:paraId="55E6E478" w14:textId="77777777" w:rsidR="004D3288" w:rsidRDefault="00000000">
      <w:pPr>
        <w:spacing w:before="280" w:after="100"/>
        <w:rPr>
          <w:rFonts w:asciiTheme="minorHAnsi" w:hAnsiTheme="minorHAnsi" w:cstheme="minorHAnsi"/>
        </w:rPr>
      </w:pPr>
      <w:r>
        <w:rPr>
          <w:rFonts w:cstheme="minorHAnsi"/>
          <w:b/>
          <w:bCs/>
          <w:sz w:val="24"/>
          <w:szCs w:val="24"/>
        </w:rPr>
        <w:t>5. Koszt wymiany</w:t>
      </w:r>
    </w:p>
    <w:p w14:paraId="15D7A40A" w14:textId="77777777" w:rsidR="004D3288" w:rsidRDefault="00000000">
      <w:pPr>
        <w:spacing w:before="80" w:after="120"/>
        <w:jc w:val="both"/>
        <w:rPr>
          <w:rFonts w:asciiTheme="minorHAnsi" w:hAnsiTheme="minorHAnsi" w:cstheme="minorHAnsi"/>
        </w:rPr>
      </w:pPr>
      <w:r>
        <w:rPr>
          <w:rFonts w:cstheme="minorHAnsi"/>
        </w:rPr>
        <w:t xml:space="preserve">Kuchnie budżetowe w intensywnie użytkowanych lokalach (najem krótkoterminowy, apartamenty inwestycyjne) wytrzymują 5-8 lat. Kuchnie </w:t>
      </w:r>
      <w:proofErr w:type="spellStart"/>
      <w:r>
        <w:rPr>
          <w:rFonts w:cstheme="minorHAnsi"/>
        </w:rPr>
        <w:t>premium</w:t>
      </w:r>
      <w:proofErr w:type="spellEnd"/>
      <w:r>
        <w:rPr>
          <w:rFonts w:cstheme="minorHAnsi"/>
        </w:rPr>
        <w:t xml:space="preserve">: 12-18 lat bez konieczności wymiany, przy regularnym serwisie. W kalkulacji TCO wymiana kuchni to koszt, na który składa się zakup kuchni + montaż + czas wyłączenia lokalu z użytkowania + projekt + logistyka. </w:t>
      </w:r>
    </w:p>
    <w:p w14:paraId="0CBCE250" w14:textId="77777777" w:rsidR="004D3288" w:rsidRDefault="00000000">
      <w:pPr>
        <w:spacing w:before="280" w:after="100"/>
        <w:rPr>
          <w:rFonts w:asciiTheme="minorHAnsi" w:hAnsiTheme="minorHAnsi" w:cstheme="minorHAnsi"/>
        </w:rPr>
      </w:pPr>
      <w:r>
        <w:rPr>
          <w:rFonts w:cstheme="minorHAnsi"/>
          <w:b/>
          <w:bCs/>
          <w:sz w:val="24"/>
          <w:szCs w:val="24"/>
        </w:rPr>
        <w:t>6. Koszt zarządzania i obsługi</w:t>
      </w:r>
    </w:p>
    <w:p w14:paraId="4542BFE6" w14:textId="101F4A72" w:rsidR="004D3288" w:rsidRDefault="00000000">
      <w:pPr>
        <w:spacing w:before="80" w:after="120"/>
        <w:jc w:val="both"/>
        <w:rPr>
          <w:rFonts w:asciiTheme="minorHAnsi" w:hAnsiTheme="minorHAnsi" w:cstheme="minorHAnsi"/>
        </w:rPr>
      </w:pPr>
      <w:r>
        <w:rPr>
          <w:rFonts w:cstheme="minorHAnsi"/>
        </w:rPr>
        <w:t>Kuchnia wymagająca interwencji (naprawa oświetlenia, regulacja zawiasów, doszczelnienie blatu) wymaga poświęcenia na to czasu: własnego club firmy zarządzającej nieruchomością. Przy 10 lokalach różnica między kuchnią „niewymagającą” a „problematyczną” generuje godziny pracy miesięcznie.</w:t>
      </w:r>
    </w:p>
    <w:p w14:paraId="2CC8B42C" w14:textId="77777777" w:rsidR="004D3288" w:rsidRDefault="00000000" w:rsidP="002F11FC">
      <w:pPr>
        <w:pStyle w:val="NormalnyWeb"/>
        <w:spacing w:before="280" w:after="280"/>
        <w:rPr>
          <w:rFonts w:asciiTheme="minorHAnsi" w:eastAsia="Calibri" w:hAnsiTheme="minorHAnsi" w:cstheme="minorHAnsi"/>
          <w:sz w:val="22"/>
          <w:szCs w:val="22"/>
        </w:rPr>
      </w:pPr>
      <w:r>
        <w:rPr>
          <w:rFonts w:asciiTheme="minorHAnsi" w:eastAsia="Calibri" w:hAnsiTheme="minorHAnsi" w:cstheme="minorHAnsi"/>
          <w:sz w:val="22"/>
          <w:szCs w:val="22"/>
        </w:rPr>
        <w:t xml:space="preserve">– W praktyce rynkowej niektórzy inwestorzy zarządzający 15-20 lokalami na początku wykazują krótkowzroczne podejście do oceny ryzyka, traktując zabudowę kuchenną jako niskobudżetowy element aranżacyjny. Skutki tej strategii ujawniają się w okresie od 4 do 5 lat użytkowania kuchni – generowane wówczas koszty amortyzacji, permanentnego serwisu oraz wynikających z nich przestojów lokali bezpośrednio uszczuplają marżę operacyjną. – zauważa Sebastian Zapora, ekspert marki Halupczok. – Z perspektywy rentowności długoterminowej, specyfikacja techniczna kuchni stanowi kluczowe ryzyko operacyjne. Wykonanie kuchni w standardzie </w:t>
      </w:r>
      <w:proofErr w:type="spellStart"/>
      <w:r>
        <w:rPr>
          <w:rFonts w:asciiTheme="minorHAnsi" w:eastAsia="Calibri" w:hAnsiTheme="minorHAnsi" w:cstheme="minorHAnsi"/>
          <w:sz w:val="22"/>
          <w:szCs w:val="22"/>
        </w:rPr>
        <w:t>premium</w:t>
      </w:r>
      <w:proofErr w:type="spellEnd"/>
      <w:r>
        <w:rPr>
          <w:rFonts w:asciiTheme="minorHAnsi" w:eastAsia="Calibri" w:hAnsiTheme="minorHAnsi" w:cstheme="minorHAnsi"/>
          <w:sz w:val="22"/>
          <w:szCs w:val="22"/>
        </w:rPr>
        <w:t xml:space="preserve"> na etapie inwestycyjnym traktowane jest jako zabezpieczenie kapitału. Pozwala na niemal całkowitą eliminację ryzyka technicznego oraz zabezpiecza stały, niezakłócony przychód z tytułu najmu, gwarantując utrzymanie wartości rezydualnej nieruchomości. – dodaje.</w:t>
      </w:r>
    </w:p>
    <w:p w14:paraId="2AB4B8C1" w14:textId="77777777" w:rsidR="004D3288" w:rsidRDefault="00000000">
      <w:pPr>
        <w:pStyle w:val="Nagwek2"/>
        <w:rPr>
          <w:rFonts w:asciiTheme="minorHAnsi" w:hAnsiTheme="minorHAnsi" w:cstheme="minorHAnsi"/>
        </w:rPr>
      </w:pPr>
      <w:r>
        <w:rPr>
          <w:rFonts w:asciiTheme="minorHAnsi" w:hAnsiTheme="minorHAnsi" w:cstheme="minorHAnsi"/>
        </w:rPr>
        <w:t>Jak prawidłowo porównywać oferty kuchni?</w:t>
      </w:r>
    </w:p>
    <w:p w14:paraId="72208380" w14:textId="77777777" w:rsidR="004D3288" w:rsidRDefault="00000000">
      <w:pPr>
        <w:spacing w:before="80" w:after="120"/>
        <w:jc w:val="both"/>
        <w:rPr>
          <w:rFonts w:asciiTheme="minorHAnsi" w:hAnsiTheme="minorHAnsi" w:cstheme="minorHAnsi"/>
        </w:rPr>
      </w:pPr>
      <w:r>
        <w:rPr>
          <w:rFonts w:cstheme="minorHAnsi"/>
        </w:rPr>
        <w:t>Jeśli TCO jest właściwą miarą, to jak go liczyć na etapie wyboru dostawcy? Żaden z nich nie da gotowej kalkulacji TCO, ale można skonstruować własną matrycę decyzyjną opartą na kilku kluczowych parametrach. Przykładowo, niskiej jakości klasy zawiasy przy otwieraniu szafki 10 razy dziennie wyczerpią normatywny czas pracy w niecałe 14 lat w warunkach laboratoryjnych. W warunkach rzeczywistych dzieje się to znacznie szybciej.</w:t>
      </w:r>
    </w:p>
    <w:p w14:paraId="6461B8F6" w14:textId="77777777" w:rsidR="004D3288" w:rsidRDefault="00000000">
      <w:pPr>
        <w:spacing w:before="280" w:after="100"/>
        <w:rPr>
          <w:rFonts w:asciiTheme="minorHAnsi" w:hAnsiTheme="minorHAnsi" w:cstheme="minorHAnsi"/>
        </w:rPr>
      </w:pPr>
      <w:r>
        <w:rPr>
          <w:rFonts w:cstheme="minorHAnsi"/>
          <w:b/>
          <w:bCs/>
          <w:sz w:val="24"/>
          <w:szCs w:val="24"/>
        </w:rPr>
        <w:t>Parametry techniczne, które przekładają się na TCO</w:t>
      </w:r>
    </w:p>
    <w:tbl>
      <w:tblPr>
        <w:tblW w:w="9200" w:type="dxa"/>
        <w:tblLayout w:type="fixed"/>
        <w:tblCellMar>
          <w:top w:w="100" w:type="dxa"/>
          <w:left w:w="140" w:type="dxa"/>
          <w:bottom w:w="100" w:type="dxa"/>
          <w:right w:w="140" w:type="dxa"/>
        </w:tblCellMar>
        <w:tblLook w:val="0000" w:firstRow="0" w:lastRow="0" w:firstColumn="0" w:lastColumn="0" w:noHBand="0" w:noVBand="0"/>
      </w:tblPr>
      <w:tblGrid>
        <w:gridCol w:w="2200"/>
        <w:gridCol w:w="2201"/>
        <w:gridCol w:w="2399"/>
        <w:gridCol w:w="2400"/>
      </w:tblGrid>
      <w:tr w:rsidR="004D3288" w14:paraId="202095EC" w14:textId="77777777">
        <w:tc>
          <w:tcPr>
            <w:tcW w:w="2199" w:type="dxa"/>
            <w:tcBorders>
              <w:top w:val="single" w:sz="2" w:space="0" w:color="B0C4D4"/>
              <w:left w:val="single" w:sz="2" w:space="0" w:color="B0C4D4"/>
              <w:bottom w:val="single" w:sz="2" w:space="0" w:color="B0C4D4"/>
              <w:right w:val="single" w:sz="2" w:space="0" w:color="B0C4D4"/>
            </w:tcBorders>
            <w:shd w:val="clear" w:color="auto" w:fill="1A3A4A"/>
          </w:tcPr>
          <w:p w14:paraId="1401B220" w14:textId="77777777" w:rsidR="004D3288" w:rsidRDefault="00000000">
            <w:pPr>
              <w:widowControl w:val="0"/>
              <w:rPr>
                <w:rFonts w:asciiTheme="minorHAnsi" w:hAnsiTheme="minorHAnsi" w:cstheme="minorHAnsi"/>
              </w:rPr>
            </w:pPr>
            <w:r>
              <w:rPr>
                <w:rFonts w:cstheme="minorHAnsi"/>
                <w:b/>
                <w:bCs/>
                <w:sz w:val="20"/>
                <w:szCs w:val="20"/>
              </w:rPr>
              <w:t>Parametr</w:t>
            </w:r>
          </w:p>
        </w:tc>
        <w:tc>
          <w:tcPr>
            <w:tcW w:w="2201" w:type="dxa"/>
            <w:tcBorders>
              <w:top w:val="single" w:sz="2" w:space="0" w:color="B0C4D4"/>
              <w:left w:val="single" w:sz="2" w:space="0" w:color="B0C4D4"/>
              <w:bottom w:val="single" w:sz="2" w:space="0" w:color="B0C4D4"/>
              <w:right w:val="single" w:sz="2" w:space="0" w:color="B0C4D4"/>
            </w:tcBorders>
            <w:shd w:val="clear" w:color="auto" w:fill="1A3A4A"/>
          </w:tcPr>
          <w:p w14:paraId="201B39AA" w14:textId="77777777" w:rsidR="004D3288" w:rsidRDefault="00000000">
            <w:pPr>
              <w:widowControl w:val="0"/>
              <w:rPr>
                <w:rFonts w:asciiTheme="minorHAnsi" w:hAnsiTheme="minorHAnsi" w:cstheme="minorHAnsi"/>
              </w:rPr>
            </w:pPr>
            <w:r>
              <w:rPr>
                <w:rFonts w:cstheme="minorHAnsi"/>
                <w:b/>
                <w:bCs/>
                <w:sz w:val="20"/>
                <w:szCs w:val="20"/>
              </w:rPr>
              <w:t>Co mierzy</w:t>
            </w:r>
          </w:p>
        </w:tc>
        <w:tc>
          <w:tcPr>
            <w:tcW w:w="2399" w:type="dxa"/>
            <w:tcBorders>
              <w:top w:val="single" w:sz="2" w:space="0" w:color="B0C4D4"/>
              <w:left w:val="single" w:sz="2" w:space="0" w:color="B0C4D4"/>
              <w:bottom w:val="single" w:sz="2" w:space="0" w:color="B0C4D4"/>
              <w:right w:val="single" w:sz="2" w:space="0" w:color="B0C4D4"/>
            </w:tcBorders>
            <w:shd w:val="clear" w:color="auto" w:fill="1A3A4A"/>
          </w:tcPr>
          <w:p w14:paraId="4F7FDF89" w14:textId="77777777" w:rsidR="004D3288" w:rsidRDefault="00000000">
            <w:pPr>
              <w:widowControl w:val="0"/>
              <w:rPr>
                <w:rFonts w:asciiTheme="minorHAnsi" w:hAnsiTheme="minorHAnsi" w:cstheme="minorHAnsi"/>
              </w:rPr>
            </w:pPr>
            <w:r>
              <w:rPr>
                <w:rFonts w:cstheme="minorHAnsi"/>
                <w:b/>
                <w:bCs/>
                <w:sz w:val="20"/>
                <w:szCs w:val="20"/>
              </w:rPr>
              <w:t>Standard budżetowy</w:t>
            </w:r>
          </w:p>
        </w:tc>
        <w:tc>
          <w:tcPr>
            <w:tcW w:w="2400" w:type="dxa"/>
            <w:tcBorders>
              <w:top w:val="single" w:sz="2" w:space="0" w:color="B0C4D4"/>
              <w:left w:val="single" w:sz="2" w:space="0" w:color="B0C4D4"/>
              <w:bottom w:val="single" w:sz="2" w:space="0" w:color="B0C4D4"/>
              <w:right w:val="single" w:sz="2" w:space="0" w:color="B0C4D4"/>
            </w:tcBorders>
            <w:shd w:val="clear" w:color="auto" w:fill="1A3A4A"/>
          </w:tcPr>
          <w:p w14:paraId="77AF6E1F" w14:textId="77777777" w:rsidR="004D3288" w:rsidRDefault="00000000">
            <w:pPr>
              <w:widowControl w:val="0"/>
              <w:rPr>
                <w:rFonts w:asciiTheme="minorHAnsi" w:hAnsiTheme="minorHAnsi" w:cstheme="minorHAnsi"/>
              </w:rPr>
            </w:pPr>
            <w:r>
              <w:rPr>
                <w:rFonts w:cstheme="minorHAnsi"/>
                <w:b/>
                <w:bCs/>
                <w:sz w:val="20"/>
                <w:szCs w:val="20"/>
              </w:rPr>
              <w:t xml:space="preserve">Standard </w:t>
            </w:r>
            <w:proofErr w:type="spellStart"/>
            <w:r>
              <w:rPr>
                <w:rFonts w:cstheme="minorHAnsi"/>
                <w:b/>
                <w:bCs/>
                <w:sz w:val="20"/>
                <w:szCs w:val="20"/>
              </w:rPr>
              <w:t>premium</w:t>
            </w:r>
            <w:proofErr w:type="spellEnd"/>
          </w:p>
        </w:tc>
      </w:tr>
      <w:tr w:rsidR="004D3288" w14:paraId="08AAC678" w14:textId="77777777">
        <w:tc>
          <w:tcPr>
            <w:tcW w:w="2199"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1D243F8D" w14:textId="77777777" w:rsidR="004D3288" w:rsidRDefault="00000000">
            <w:pPr>
              <w:widowControl w:val="0"/>
              <w:rPr>
                <w:rFonts w:asciiTheme="minorHAnsi" w:hAnsiTheme="minorHAnsi" w:cstheme="minorHAnsi"/>
              </w:rPr>
            </w:pPr>
            <w:r>
              <w:rPr>
                <w:rFonts w:cstheme="minorHAnsi"/>
                <w:b/>
                <w:bCs/>
                <w:sz w:val="20"/>
                <w:szCs w:val="20"/>
              </w:rPr>
              <w:t>Zawiasy</w:t>
            </w:r>
          </w:p>
        </w:tc>
        <w:tc>
          <w:tcPr>
            <w:tcW w:w="2201"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12A6BC46" w14:textId="77777777" w:rsidR="004D3288" w:rsidRDefault="00000000">
            <w:pPr>
              <w:widowControl w:val="0"/>
              <w:rPr>
                <w:rFonts w:asciiTheme="minorHAnsi" w:hAnsiTheme="minorHAnsi" w:cstheme="minorHAnsi"/>
              </w:rPr>
            </w:pPr>
            <w:r>
              <w:rPr>
                <w:rFonts w:cstheme="minorHAnsi"/>
                <w:sz w:val="20"/>
                <w:szCs w:val="20"/>
              </w:rPr>
              <w:t>Liczba cykli otwarcia/zamknięcia</w:t>
            </w:r>
          </w:p>
        </w:tc>
        <w:tc>
          <w:tcPr>
            <w:tcW w:w="2399"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219177D0" w14:textId="77777777" w:rsidR="004D3288" w:rsidRDefault="00000000">
            <w:pPr>
              <w:widowControl w:val="0"/>
              <w:rPr>
                <w:rFonts w:asciiTheme="minorHAnsi" w:hAnsiTheme="minorHAnsi" w:cstheme="minorHAnsi"/>
              </w:rPr>
            </w:pPr>
            <w:r>
              <w:rPr>
                <w:rFonts w:cstheme="minorHAnsi"/>
                <w:sz w:val="20"/>
                <w:szCs w:val="20"/>
              </w:rPr>
              <w:t>50 000–70 000 cykli</w:t>
            </w:r>
          </w:p>
        </w:tc>
        <w:tc>
          <w:tcPr>
            <w:tcW w:w="2400"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64AE2ABF" w14:textId="77777777" w:rsidR="004D3288" w:rsidRDefault="00000000">
            <w:pPr>
              <w:widowControl w:val="0"/>
              <w:rPr>
                <w:rFonts w:asciiTheme="minorHAnsi" w:hAnsiTheme="minorHAnsi" w:cstheme="minorHAnsi"/>
              </w:rPr>
            </w:pPr>
            <w:r>
              <w:rPr>
                <w:rFonts w:cstheme="minorHAnsi"/>
                <w:sz w:val="20"/>
                <w:szCs w:val="20"/>
              </w:rPr>
              <w:t>150 000–200 000 cykli</w:t>
            </w:r>
          </w:p>
        </w:tc>
      </w:tr>
      <w:tr w:rsidR="004D3288" w14:paraId="2C4115AB" w14:textId="77777777">
        <w:tc>
          <w:tcPr>
            <w:tcW w:w="2199"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1A8C9E59" w14:textId="77777777" w:rsidR="004D3288" w:rsidRDefault="00000000">
            <w:pPr>
              <w:widowControl w:val="0"/>
              <w:rPr>
                <w:rFonts w:asciiTheme="minorHAnsi" w:hAnsiTheme="minorHAnsi" w:cstheme="minorHAnsi"/>
              </w:rPr>
            </w:pPr>
            <w:r>
              <w:rPr>
                <w:rFonts w:cstheme="minorHAnsi"/>
                <w:b/>
                <w:bCs/>
                <w:sz w:val="20"/>
                <w:szCs w:val="20"/>
              </w:rPr>
              <w:t>Prowadnice szuflad</w:t>
            </w:r>
          </w:p>
        </w:tc>
        <w:tc>
          <w:tcPr>
            <w:tcW w:w="2201"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1FA36B04" w14:textId="77777777" w:rsidR="004D3288" w:rsidRDefault="00000000">
            <w:pPr>
              <w:widowControl w:val="0"/>
              <w:rPr>
                <w:rFonts w:asciiTheme="minorHAnsi" w:hAnsiTheme="minorHAnsi" w:cstheme="minorHAnsi"/>
              </w:rPr>
            </w:pPr>
            <w:r>
              <w:rPr>
                <w:rFonts w:cstheme="minorHAnsi"/>
                <w:sz w:val="20"/>
                <w:szCs w:val="20"/>
              </w:rPr>
              <w:t>Obciążenie i trwałość</w:t>
            </w:r>
          </w:p>
        </w:tc>
        <w:tc>
          <w:tcPr>
            <w:tcW w:w="2399"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5B4D3226" w14:textId="77777777" w:rsidR="004D3288" w:rsidRDefault="00000000">
            <w:pPr>
              <w:widowControl w:val="0"/>
              <w:rPr>
                <w:rFonts w:asciiTheme="minorHAnsi" w:hAnsiTheme="minorHAnsi" w:cstheme="minorHAnsi"/>
              </w:rPr>
            </w:pPr>
            <w:r>
              <w:rPr>
                <w:rFonts w:cstheme="minorHAnsi"/>
                <w:sz w:val="20"/>
                <w:szCs w:val="20"/>
              </w:rPr>
              <w:t>25 kg, 50 000 cykli</w:t>
            </w:r>
          </w:p>
        </w:tc>
        <w:tc>
          <w:tcPr>
            <w:tcW w:w="2400"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3B89B066" w14:textId="77777777" w:rsidR="004D3288" w:rsidRDefault="00000000">
            <w:pPr>
              <w:widowControl w:val="0"/>
              <w:rPr>
                <w:rFonts w:asciiTheme="minorHAnsi" w:hAnsiTheme="minorHAnsi" w:cstheme="minorHAnsi"/>
              </w:rPr>
            </w:pPr>
            <w:r>
              <w:rPr>
                <w:rFonts w:cstheme="minorHAnsi"/>
                <w:sz w:val="20"/>
                <w:szCs w:val="20"/>
              </w:rPr>
              <w:t>50–70 kg, 150 000+ cykli</w:t>
            </w:r>
          </w:p>
        </w:tc>
      </w:tr>
      <w:tr w:rsidR="004D3288" w14:paraId="12E84A8D" w14:textId="77777777">
        <w:tc>
          <w:tcPr>
            <w:tcW w:w="2199"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57E90814" w14:textId="77777777" w:rsidR="004D3288" w:rsidRDefault="00000000">
            <w:pPr>
              <w:widowControl w:val="0"/>
              <w:rPr>
                <w:rFonts w:asciiTheme="minorHAnsi" w:hAnsiTheme="minorHAnsi" w:cstheme="minorHAnsi"/>
              </w:rPr>
            </w:pPr>
            <w:r>
              <w:rPr>
                <w:rFonts w:cstheme="minorHAnsi"/>
                <w:b/>
                <w:bCs/>
                <w:sz w:val="20"/>
                <w:szCs w:val="20"/>
              </w:rPr>
              <w:t>Płyta laminowana</w:t>
            </w:r>
          </w:p>
        </w:tc>
        <w:tc>
          <w:tcPr>
            <w:tcW w:w="2201"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21E7C1A2" w14:textId="77777777" w:rsidR="004D3288" w:rsidRDefault="00000000">
            <w:pPr>
              <w:widowControl w:val="0"/>
              <w:rPr>
                <w:rFonts w:asciiTheme="minorHAnsi" w:hAnsiTheme="minorHAnsi" w:cstheme="minorHAnsi"/>
              </w:rPr>
            </w:pPr>
            <w:r>
              <w:rPr>
                <w:rFonts w:cstheme="minorHAnsi"/>
                <w:sz w:val="20"/>
                <w:szCs w:val="20"/>
              </w:rPr>
              <w:t>Odporność na zarysowania (EN 438)</w:t>
            </w:r>
          </w:p>
        </w:tc>
        <w:tc>
          <w:tcPr>
            <w:tcW w:w="2399"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52FC1993" w14:textId="77777777" w:rsidR="004D3288" w:rsidRDefault="00000000">
            <w:pPr>
              <w:widowControl w:val="0"/>
              <w:rPr>
                <w:rFonts w:asciiTheme="minorHAnsi" w:hAnsiTheme="minorHAnsi" w:cstheme="minorHAnsi"/>
              </w:rPr>
            </w:pPr>
            <w:r>
              <w:rPr>
                <w:rFonts w:cstheme="minorHAnsi"/>
                <w:sz w:val="20"/>
                <w:szCs w:val="20"/>
              </w:rPr>
              <w:t>Klasa 2–3</w:t>
            </w:r>
          </w:p>
        </w:tc>
        <w:tc>
          <w:tcPr>
            <w:tcW w:w="2400"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2C6DFF4F" w14:textId="77777777" w:rsidR="004D3288" w:rsidRDefault="00000000">
            <w:pPr>
              <w:widowControl w:val="0"/>
              <w:rPr>
                <w:rFonts w:asciiTheme="minorHAnsi" w:hAnsiTheme="minorHAnsi" w:cstheme="minorHAnsi"/>
              </w:rPr>
            </w:pPr>
            <w:r>
              <w:rPr>
                <w:rFonts w:cstheme="minorHAnsi"/>
                <w:sz w:val="20"/>
                <w:szCs w:val="20"/>
              </w:rPr>
              <w:t>Klasa 4–5</w:t>
            </w:r>
          </w:p>
        </w:tc>
      </w:tr>
      <w:tr w:rsidR="004D3288" w14:paraId="4BEDB0E1" w14:textId="77777777">
        <w:tc>
          <w:tcPr>
            <w:tcW w:w="2199"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7480B652" w14:textId="77777777" w:rsidR="004D3288" w:rsidRDefault="00000000">
            <w:pPr>
              <w:widowControl w:val="0"/>
              <w:rPr>
                <w:rFonts w:asciiTheme="minorHAnsi" w:hAnsiTheme="minorHAnsi" w:cstheme="minorHAnsi"/>
              </w:rPr>
            </w:pPr>
            <w:r>
              <w:rPr>
                <w:rFonts w:cstheme="minorHAnsi"/>
                <w:b/>
                <w:bCs/>
                <w:sz w:val="20"/>
                <w:szCs w:val="20"/>
              </w:rPr>
              <w:t>Korpus szafki</w:t>
            </w:r>
          </w:p>
        </w:tc>
        <w:tc>
          <w:tcPr>
            <w:tcW w:w="2201"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08DF6359" w14:textId="77777777" w:rsidR="004D3288" w:rsidRDefault="00000000">
            <w:pPr>
              <w:widowControl w:val="0"/>
              <w:rPr>
                <w:rFonts w:asciiTheme="minorHAnsi" w:hAnsiTheme="minorHAnsi" w:cstheme="minorHAnsi"/>
              </w:rPr>
            </w:pPr>
            <w:r>
              <w:rPr>
                <w:rFonts w:cstheme="minorHAnsi"/>
                <w:sz w:val="20"/>
                <w:szCs w:val="20"/>
              </w:rPr>
              <w:t>Grubość płyty i impregnacja</w:t>
            </w:r>
          </w:p>
        </w:tc>
        <w:tc>
          <w:tcPr>
            <w:tcW w:w="2399"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7CF31509" w14:textId="77777777" w:rsidR="004D3288" w:rsidRDefault="00000000">
            <w:pPr>
              <w:widowControl w:val="0"/>
              <w:rPr>
                <w:rFonts w:asciiTheme="minorHAnsi" w:hAnsiTheme="minorHAnsi" w:cstheme="minorHAnsi"/>
              </w:rPr>
            </w:pPr>
            <w:r>
              <w:rPr>
                <w:rFonts w:cstheme="minorHAnsi"/>
                <w:sz w:val="20"/>
                <w:szCs w:val="20"/>
              </w:rPr>
              <w:t>16 mm, bez impregnacji</w:t>
            </w:r>
          </w:p>
        </w:tc>
        <w:tc>
          <w:tcPr>
            <w:tcW w:w="2400"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147AF3F5" w14:textId="77777777" w:rsidR="004D3288" w:rsidRDefault="00000000">
            <w:pPr>
              <w:widowControl w:val="0"/>
              <w:rPr>
                <w:rFonts w:asciiTheme="minorHAnsi" w:hAnsiTheme="minorHAnsi" w:cstheme="minorHAnsi"/>
              </w:rPr>
            </w:pPr>
            <w:r>
              <w:rPr>
                <w:rFonts w:cstheme="minorHAnsi"/>
                <w:sz w:val="20"/>
                <w:szCs w:val="20"/>
              </w:rPr>
              <w:t>18–22 mm, impregnacja ABS</w:t>
            </w:r>
          </w:p>
        </w:tc>
      </w:tr>
      <w:tr w:rsidR="004D3288" w14:paraId="3E6DEA84" w14:textId="77777777">
        <w:tc>
          <w:tcPr>
            <w:tcW w:w="2199"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78A78E63" w14:textId="77777777" w:rsidR="004D3288" w:rsidRDefault="00000000">
            <w:pPr>
              <w:widowControl w:val="0"/>
              <w:rPr>
                <w:rFonts w:asciiTheme="minorHAnsi" w:hAnsiTheme="minorHAnsi" w:cstheme="minorHAnsi"/>
              </w:rPr>
            </w:pPr>
            <w:r>
              <w:rPr>
                <w:rFonts w:cstheme="minorHAnsi"/>
                <w:b/>
                <w:bCs/>
                <w:sz w:val="20"/>
                <w:szCs w:val="20"/>
              </w:rPr>
              <w:t>Blat</w:t>
            </w:r>
          </w:p>
        </w:tc>
        <w:tc>
          <w:tcPr>
            <w:tcW w:w="2201"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4F0E6652" w14:textId="77777777" w:rsidR="004D3288" w:rsidRDefault="00000000">
            <w:pPr>
              <w:widowControl w:val="0"/>
              <w:rPr>
                <w:rFonts w:asciiTheme="minorHAnsi" w:hAnsiTheme="minorHAnsi" w:cstheme="minorHAnsi"/>
              </w:rPr>
            </w:pPr>
            <w:r>
              <w:rPr>
                <w:rFonts w:cstheme="minorHAnsi"/>
                <w:sz w:val="20"/>
                <w:szCs w:val="20"/>
              </w:rPr>
              <w:t>Odporność na wilgoć i ciepło</w:t>
            </w:r>
          </w:p>
        </w:tc>
        <w:tc>
          <w:tcPr>
            <w:tcW w:w="2399"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76784974" w14:textId="77777777" w:rsidR="004D3288" w:rsidRDefault="00000000">
            <w:pPr>
              <w:widowControl w:val="0"/>
              <w:rPr>
                <w:rFonts w:asciiTheme="minorHAnsi" w:hAnsiTheme="minorHAnsi" w:cstheme="minorHAnsi"/>
              </w:rPr>
            </w:pPr>
            <w:r>
              <w:rPr>
                <w:rFonts w:cstheme="minorHAnsi"/>
                <w:sz w:val="20"/>
                <w:szCs w:val="20"/>
              </w:rPr>
              <w:t>Laminat HPL 0,6 mm</w:t>
            </w:r>
          </w:p>
        </w:tc>
        <w:tc>
          <w:tcPr>
            <w:tcW w:w="2400" w:type="dxa"/>
            <w:tcBorders>
              <w:top w:val="single" w:sz="2" w:space="0" w:color="D0DCE6"/>
              <w:left w:val="single" w:sz="2" w:space="0" w:color="D0DCE6"/>
              <w:bottom w:val="single" w:sz="2" w:space="0" w:color="D0DCE6"/>
              <w:right w:val="single" w:sz="2" w:space="0" w:color="D0DCE6"/>
            </w:tcBorders>
            <w:shd w:val="clear" w:color="auto" w:fill="F8FAFC"/>
            <w:tcMar>
              <w:top w:w="80" w:type="dxa"/>
              <w:bottom w:w="80" w:type="dxa"/>
            </w:tcMar>
          </w:tcPr>
          <w:p w14:paraId="7FA6D608" w14:textId="77777777" w:rsidR="004D3288" w:rsidRDefault="00000000">
            <w:pPr>
              <w:widowControl w:val="0"/>
              <w:rPr>
                <w:rFonts w:asciiTheme="minorHAnsi" w:hAnsiTheme="minorHAnsi" w:cstheme="minorHAnsi"/>
              </w:rPr>
            </w:pPr>
            <w:r>
              <w:rPr>
                <w:rFonts w:cstheme="minorHAnsi"/>
                <w:sz w:val="20"/>
                <w:szCs w:val="20"/>
              </w:rPr>
              <w:t>Spiek / kamień / HPL 1,2 mm</w:t>
            </w:r>
          </w:p>
        </w:tc>
      </w:tr>
      <w:tr w:rsidR="004D3288" w14:paraId="06B69388" w14:textId="77777777">
        <w:tc>
          <w:tcPr>
            <w:tcW w:w="2199"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19CA9C4D" w14:textId="77777777" w:rsidR="004D3288" w:rsidRDefault="00000000">
            <w:pPr>
              <w:widowControl w:val="0"/>
              <w:rPr>
                <w:rFonts w:asciiTheme="minorHAnsi" w:hAnsiTheme="minorHAnsi" w:cstheme="minorHAnsi"/>
              </w:rPr>
            </w:pPr>
            <w:r>
              <w:rPr>
                <w:rFonts w:cstheme="minorHAnsi"/>
                <w:b/>
                <w:bCs/>
                <w:sz w:val="20"/>
                <w:szCs w:val="20"/>
              </w:rPr>
              <w:lastRenderedPageBreak/>
              <w:t>Gwarancja producenta</w:t>
            </w:r>
          </w:p>
        </w:tc>
        <w:tc>
          <w:tcPr>
            <w:tcW w:w="2201"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0CDB015B" w14:textId="77777777" w:rsidR="004D3288" w:rsidRDefault="00000000">
            <w:pPr>
              <w:widowControl w:val="0"/>
              <w:rPr>
                <w:rFonts w:asciiTheme="minorHAnsi" w:hAnsiTheme="minorHAnsi" w:cstheme="minorHAnsi"/>
              </w:rPr>
            </w:pPr>
            <w:r>
              <w:rPr>
                <w:rFonts w:cstheme="minorHAnsi"/>
                <w:sz w:val="20"/>
                <w:szCs w:val="20"/>
              </w:rPr>
              <w:t>Wola producenta do odpowiedzi</w:t>
            </w:r>
          </w:p>
        </w:tc>
        <w:tc>
          <w:tcPr>
            <w:tcW w:w="2399"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48CFA932" w14:textId="77777777" w:rsidR="004D3288" w:rsidRDefault="00000000">
            <w:pPr>
              <w:widowControl w:val="0"/>
              <w:rPr>
                <w:rFonts w:asciiTheme="minorHAnsi" w:hAnsiTheme="minorHAnsi" w:cstheme="minorHAnsi"/>
              </w:rPr>
            </w:pPr>
            <w:r>
              <w:rPr>
                <w:rFonts w:cstheme="minorHAnsi"/>
                <w:sz w:val="20"/>
                <w:szCs w:val="20"/>
              </w:rPr>
              <w:t>2 lata</w:t>
            </w:r>
          </w:p>
        </w:tc>
        <w:tc>
          <w:tcPr>
            <w:tcW w:w="2400" w:type="dxa"/>
            <w:tcBorders>
              <w:top w:val="single" w:sz="2" w:space="0" w:color="D0DCE6"/>
              <w:left w:val="single" w:sz="2" w:space="0" w:color="D0DCE6"/>
              <w:bottom w:val="single" w:sz="2" w:space="0" w:color="D0DCE6"/>
              <w:right w:val="single" w:sz="2" w:space="0" w:color="D0DCE6"/>
            </w:tcBorders>
            <w:shd w:val="clear" w:color="auto" w:fill="F2F5F7"/>
            <w:tcMar>
              <w:top w:w="80" w:type="dxa"/>
              <w:bottom w:w="80" w:type="dxa"/>
            </w:tcMar>
          </w:tcPr>
          <w:p w14:paraId="619AB249" w14:textId="77777777" w:rsidR="004D3288" w:rsidRDefault="00000000">
            <w:pPr>
              <w:widowControl w:val="0"/>
              <w:rPr>
                <w:rFonts w:asciiTheme="minorHAnsi" w:hAnsiTheme="minorHAnsi" w:cstheme="minorHAnsi"/>
              </w:rPr>
            </w:pPr>
            <w:r>
              <w:rPr>
                <w:rFonts w:cstheme="minorHAnsi"/>
                <w:sz w:val="20"/>
                <w:szCs w:val="20"/>
              </w:rPr>
              <w:t>5–10 lat  My mamy 2 lata gwarancji- informacyjnie</w:t>
            </w:r>
          </w:p>
        </w:tc>
      </w:tr>
    </w:tbl>
    <w:p w14:paraId="2546894C" w14:textId="77777777" w:rsidR="004D3288" w:rsidRDefault="00000000">
      <w:pPr>
        <w:pStyle w:val="Nagwek2"/>
        <w:rPr>
          <w:rFonts w:asciiTheme="minorHAnsi" w:hAnsiTheme="minorHAnsi" w:cstheme="minorHAnsi"/>
        </w:rPr>
      </w:pPr>
      <w:r>
        <w:rPr>
          <w:rFonts w:asciiTheme="minorHAnsi" w:hAnsiTheme="minorHAnsi" w:cstheme="minorHAnsi"/>
        </w:rPr>
        <w:t>TCO w projektach deweloperskich: inna skala, inne ryzyko</w:t>
      </w:r>
    </w:p>
    <w:p w14:paraId="1E0DE7A0" w14:textId="77777777" w:rsidR="004D3288" w:rsidRDefault="00000000">
      <w:pPr>
        <w:spacing w:before="80" w:after="120"/>
        <w:jc w:val="both"/>
        <w:rPr>
          <w:rFonts w:asciiTheme="minorHAnsi" w:hAnsiTheme="minorHAnsi" w:cstheme="minorHAnsi"/>
        </w:rPr>
      </w:pPr>
      <w:r>
        <w:rPr>
          <w:rFonts w:cstheme="minorHAnsi"/>
        </w:rPr>
        <w:t xml:space="preserve">Inwestor indywidualny z jednym lub dwoma lokalami ryzykuje własnym komfortem i czasem. Deweloper realizujący projekt 40 lub 80 lokali ryzykuje skalą. Przy 40 lokalach różnica 1 000 zł na serwisie rocznie między kuchnią budżetową a </w:t>
      </w:r>
      <w:proofErr w:type="spellStart"/>
      <w:r>
        <w:rPr>
          <w:rFonts w:cstheme="minorHAnsi"/>
        </w:rPr>
        <w:t>premium</w:t>
      </w:r>
      <w:proofErr w:type="spellEnd"/>
      <w:r>
        <w:rPr>
          <w:rFonts w:cstheme="minorHAnsi"/>
        </w:rPr>
        <w:t xml:space="preserve"> to 40 000 zł w skali roku. Ale to wciąż nie jest największe ryzyko dewelopera. Jeśli w kuchni jednej serii pojawia się wada systemowa (partia frontów z wadliwą okleiną, prowadnice z konkretnej dostawy), dotyka ona jednocześnie 40 lokali. Zarządzanie reklamacją na taką skalę to logistyczne i finansowe wyzwanie, które potrafi zablokować płynność projektu.</w:t>
      </w:r>
    </w:p>
    <w:p w14:paraId="167BB5C0" w14:textId="77777777" w:rsidR="004D3288" w:rsidRDefault="00000000">
      <w:pPr>
        <w:spacing w:before="80" w:after="120"/>
        <w:jc w:val="both"/>
        <w:rPr>
          <w:rFonts w:asciiTheme="minorHAnsi" w:hAnsiTheme="minorHAnsi" w:cstheme="minorHAnsi"/>
        </w:rPr>
      </w:pPr>
      <w:r>
        <w:rPr>
          <w:rFonts w:cstheme="minorHAnsi"/>
        </w:rPr>
        <w:t>Aby uniknąć tego typu problemów, warto znać i stosować dobre praktyki przy wyborze kuchni do projektów deweloperskich:</w:t>
      </w:r>
    </w:p>
    <w:p w14:paraId="22F84B50" w14:textId="77777777" w:rsidR="004D3288" w:rsidRDefault="00000000">
      <w:pPr>
        <w:pStyle w:val="Akapitzlist"/>
        <w:numPr>
          <w:ilvl w:val="0"/>
          <w:numId w:val="3"/>
        </w:numPr>
        <w:spacing w:before="60" w:after="60"/>
        <w:rPr>
          <w:rFonts w:asciiTheme="minorHAnsi" w:hAnsiTheme="minorHAnsi" w:cstheme="minorHAnsi"/>
        </w:rPr>
      </w:pPr>
      <w:r>
        <w:rPr>
          <w:rFonts w:cstheme="minorHAnsi"/>
        </w:rPr>
        <w:t>Zdefiniuj TCO jako kryterium przetargowe a nie tylko cenę zakupu. Poproś oferentów o dane techniczne dotyczące trwałości komponentów.</w:t>
      </w:r>
    </w:p>
    <w:p w14:paraId="2A6DF742" w14:textId="77777777" w:rsidR="004D3288" w:rsidRDefault="00000000">
      <w:pPr>
        <w:pStyle w:val="Akapitzlist"/>
        <w:numPr>
          <w:ilvl w:val="0"/>
          <w:numId w:val="1"/>
        </w:numPr>
        <w:spacing w:before="60" w:after="60"/>
        <w:rPr>
          <w:rFonts w:asciiTheme="minorHAnsi" w:hAnsiTheme="minorHAnsi" w:cstheme="minorHAnsi"/>
        </w:rPr>
      </w:pPr>
      <w:r>
        <w:rPr>
          <w:rFonts w:cstheme="minorHAnsi"/>
        </w:rPr>
        <w:t>Negocjuj warunki gwarancji i serwisu, nie tylko cenę. Gwarancja 5-letnia z gwarantowanym czasem reakcji na reklamację jest warta więcej niż rok gwarancji z numerem na infolinię.</w:t>
      </w:r>
    </w:p>
    <w:p w14:paraId="57B3657C" w14:textId="77777777" w:rsidR="004D3288" w:rsidRDefault="00000000">
      <w:pPr>
        <w:pStyle w:val="Akapitzlist"/>
        <w:numPr>
          <w:ilvl w:val="0"/>
          <w:numId w:val="1"/>
        </w:numPr>
        <w:spacing w:before="60" w:after="60"/>
        <w:rPr>
          <w:rFonts w:asciiTheme="minorHAnsi" w:hAnsiTheme="minorHAnsi" w:cstheme="minorHAnsi"/>
        </w:rPr>
      </w:pPr>
      <w:r>
        <w:rPr>
          <w:rFonts w:cstheme="minorHAnsi"/>
        </w:rPr>
        <w:t>Standaryzuj, ale nie na najniższym pułapie. Jednolita specyfikacja obniża koszty zarządzania, ale wybranie złego standardu ujednoliconego oznacza pomnożenie problemu przez liczbę lokali.</w:t>
      </w:r>
    </w:p>
    <w:p w14:paraId="18491CF7" w14:textId="77777777" w:rsidR="004D3288" w:rsidRDefault="00000000">
      <w:pPr>
        <w:pStyle w:val="Akapitzlist"/>
        <w:numPr>
          <w:ilvl w:val="0"/>
          <w:numId w:val="1"/>
        </w:numPr>
        <w:spacing w:before="60" w:after="60"/>
        <w:rPr>
          <w:rFonts w:asciiTheme="minorHAnsi" w:hAnsiTheme="minorHAnsi" w:cstheme="minorHAnsi"/>
        </w:rPr>
      </w:pPr>
      <w:r>
        <w:rPr>
          <w:rFonts w:cstheme="minorHAnsi"/>
        </w:rPr>
        <w:t>Uwzględnij koszt montażu jako część procesu wyboru dostawcy. Właściwy montaż jest tak samo ważny jak jakość mebla.</w:t>
      </w:r>
    </w:p>
    <w:p w14:paraId="47E8FE2E" w14:textId="77777777" w:rsidR="004D3288" w:rsidRDefault="00000000">
      <w:pPr>
        <w:pStyle w:val="Akapitzlist"/>
        <w:numPr>
          <w:ilvl w:val="0"/>
          <w:numId w:val="1"/>
        </w:numPr>
        <w:spacing w:before="60" w:after="60"/>
        <w:rPr>
          <w:rFonts w:asciiTheme="minorHAnsi" w:hAnsiTheme="minorHAnsi" w:cstheme="minorHAnsi"/>
        </w:rPr>
      </w:pPr>
      <w:r>
        <w:rPr>
          <w:rFonts w:cstheme="minorHAnsi"/>
        </w:rPr>
        <w:t>Zaplanuj serwis pogwarancyjny. Zapytaj dostawcę, czy za 8 lat będzie w stanie dostarczyć części zamienne do tej konfiguracji. To pytanie eliminuje wielu dostawców z kategorii „tanie kuchnie na zamówienie”.</w:t>
      </w:r>
    </w:p>
    <w:p w14:paraId="506C0B5E" w14:textId="77777777" w:rsidR="004D3288" w:rsidRDefault="00000000">
      <w:pPr>
        <w:pStyle w:val="Nagwek2"/>
        <w:rPr>
          <w:rFonts w:asciiTheme="minorHAnsi" w:hAnsiTheme="minorHAnsi" w:cstheme="minorHAnsi"/>
        </w:rPr>
      </w:pPr>
      <w:r>
        <w:rPr>
          <w:rFonts w:asciiTheme="minorHAnsi" w:hAnsiTheme="minorHAnsi" w:cstheme="minorHAnsi"/>
        </w:rPr>
        <w:t>TCO zmienia podejście do kuchni</w:t>
      </w:r>
    </w:p>
    <w:p w14:paraId="5BFCFB20" w14:textId="77777777" w:rsidR="004D3288" w:rsidRDefault="00000000">
      <w:pPr>
        <w:spacing w:before="80" w:after="120"/>
        <w:jc w:val="both"/>
        <w:rPr>
          <w:rFonts w:asciiTheme="minorHAnsi" w:hAnsiTheme="minorHAnsi" w:cstheme="minorHAnsi"/>
        </w:rPr>
      </w:pPr>
      <w:r>
        <w:rPr>
          <w:rFonts w:cstheme="minorHAnsi"/>
        </w:rPr>
        <w:t>TCO to narzędzie, które pozwala przenieść rozmowę o kuchni z poziomu „ile kosztuje metr frontu” na zrozumienie, ile ta decyzja „kosztuje” przez 10 lat. Finansowo różnica okazuje się fundamentalna. Dlatego Sebastian Zapora, ekspert marki Halupczok, proponuje, aby przed każdą decyzją o wyborze kuchni w projekcie inwestycyjnym zadać sobie trzy pytania:</w:t>
      </w:r>
    </w:p>
    <w:p w14:paraId="133ADCA2" w14:textId="77777777" w:rsidR="004D3288" w:rsidRDefault="00000000">
      <w:pPr>
        <w:spacing w:before="60" w:after="60"/>
        <w:rPr>
          <w:rFonts w:asciiTheme="minorHAnsi" w:hAnsiTheme="minorHAnsi" w:cstheme="minorHAnsi"/>
        </w:rPr>
      </w:pPr>
      <w:r>
        <w:rPr>
          <w:rFonts w:cstheme="minorHAnsi"/>
        </w:rPr>
        <w:t>- Jaki jest przewidywany TCO danej kuchni w horyzoncie projektu? (Nie: ile kosztuje. Ile kosztuje przez X lat.)</w:t>
      </w:r>
    </w:p>
    <w:p w14:paraId="542EFCCE" w14:textId="77777777" w:rsidR="004D3288" w:rsidRDefault="00000000">
      <w:pPr>
        <w:spacing w:before="60" w:after="60"/>
        <w:rPr>
          <w:rFonts w:asciiTheme="minorHAnsi" w:hAnsiTheme="minorHAnsi" w:cstheme="minorHAnsi"/>
        </w:rPr>
      </w:pPr>
      <w:r>
        <w:rPr>
          <w:rFonts w:cstheme="minorHAnsi"/>
        </w:rPr>
        <w:t>- Jakie są normatywne parametry trwałości kluczowych mechanizmów (zawiasy, prowadnice, klasa płyty itd.)?</w:t>
      </w:r>
    </w:p>
    <w:p w14:paraId="29A54F64" w14:textId="77777777" w:rsidR="004D3288" w:rsidRDefault="00000000">
      <w:pPr>
        <w:spacing w:before="60" w:after="60"/>
        <w:rPr>
          <w:rFonts w:asciiTheme="minorHAnsi" w:hAnsiTheme="minorHAnsi" w:cstheme="minorHAnsi"/>
        </w:rPr>
      </w:pPr>
      <w:r>
        <w:rPr>
          <w:rFonts w:cstheme="minorHAnsi"/>
        </w:rPr>
        <w:t>- Co się dzieje w momencie reklamacji – kto za nią odpowiada, ile się czeka, ile to kosztuje?</w:t>
      </w:r>
    </w:p>
    <w:p w14:paraId="45E38007" w14:textId="77777777" w:rsidR="004D3288" w:rsidRDefault="004D3288">
      <w:pPr>
        <w:spacing w:before="100"/>
        <w:rPr>
          <w:rFonts w:asciiTheme="minorHAnsi" w:hAnsiTheme="minorHAnsi" w:cstheme="minorHAnsi"/>
        </w:rPr>
      </w:pPr>
    </w:p>
    <w:p w14:paraId="43B35812" w14:textId="77777777" w:rsidR="004D3288" w:rsidRDefault="00000000">
      <w:pPr>
        <w:spacing w:before="80" w:after="120"/>
        <w:jc w:val="both"/>
        <w:rPr>
          <w:rFonts w:asciiTheme="minorHAnsi" w:hAnsiTheme="minorHAnsi" w:cstheme="minorHAnsi"/>
        </w:rPr>
      </w:pPr>
      <w:r>
        <w:rPr>
          <w:rFonts w:cstheme="minorHAnsi"/>
        </w:rPr>
        <w:t>Inwestorzy i deweloperzy, którzy uwzględniają TCO przy wyborze kuchni, decydują się na poniesienie wyższego wydatku na start, co gwarantuje niższy koszt całkowity. Nie kierują się przekonaniem, że „drogie” znaczy „dobre”. Po prostu rozumieją, gdzie naprawdę lokują pieniądze.</w:t>
      </w:r>
    </w:p>
    <w:p w14:paraId="524687F9" w14:textId="77777777" w:rsidR="004D3288" w:rsidRDefault="004D3288">
      <w:pPr>
        <w:spacing w:before="80" w:after="120"/>
        <w:jc w:val="both"/>
        <w:rPr>
          <w:rFonts w:asciiTheme="minorHAnsi" w:hAnsiTheme="minorHAnsi" w:cstheme="minorHAnsi"/>
        </w:rPr>
      </w:pPr>
    </w:p>
    <w:sectPr w:rsidR="004D3288">
      <w:pgSz w:w="11906" w:h="16838"/>
      <w:pgMar w:top="1440" w:right="1440" w:bottom="1440" w:left="1440"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7C1AF0"/>
    <w:multiLevelType w:val="multilevel"/>
    <w:tmpl w:val="1FA8AFF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8CC361D"/>
    <w:multiLevelType w:val="multilevel"/>
    <w:tmpl w:val="79A07E0A"/>
    <w:lvl w:ilvl="0">
      <w:start w:val="1"/>
      <w:numFmt w:val="decimal"/>
      <w:lvlText w:val="%1."/>
      <w:lvlJc w:val="left"/>
      <w:pPr>
        <w:tabs>
          <w:tab w:val="num" w:pos="0"/>
        </w:tabs>
        <w:ind w:left="600" w:hanging="32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16cid:durableId="1803378424">
    <w:abstractNumId w:val="1"/>
  </w:num>
  <w:num w:numId="2" w16cid:durableId="53048454">
    <w:abstractNumId w:val="0"/>
  </w:num>
  <w:num w:numId="3" w16cid:durableId="11202328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288"/>
    <w:rsid w:val="002F11FC"/>
    <w:rsid w:val="004D3288"/>
    <w:rsid w:val="008468FC"/>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5CF6C"/>
  <w15:docId w15:val="{98A6C16E-D81B-4070-AE14-262A9412D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pl-PL" w:eastAsia="pl-PL"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uiPriority w:val="9"/>
    <w:qFormat/>
    <w:pPr>
      <w:spacing w:before="480" w:after="240"/>
      <w:outlineLvl w:val="0"/>
    </w:pPr>
    <w:rPr>
      <w:rFonts w:ascii="Georgia" w:eastAsia="Georgia" w:hAnsi="Georgia" w:cs="Georgia"/>
      <w:b/>
      <w:bCs/>
      <w:sz w:val="38"/>
      <w:szCs w:val="38"/>
    </w:rPr>
  </w:style>
  <w:style w:type="paragraph" w:styleId="Nagwek2">
    <w:name w:val="heading 2"/>
    <w:uiPriority w:val="9"/>
    <w:unhideWhenUsed/>
    <w:qFormat/>
    <w:pPr>
      <w:spacing w:before="400" w:after="160"/>
      <w:outlineLvl w:val="1"/>
    </w:pPr>
    <w:rPr>
      <w:rFonts w:ascii="Georgia" w:eastAsia="Georgia" w:hAnsi="Georgia" w:cs="Georgia"/>
      <w:b/>
      <w:bCs/>
      <w:sz w:val="28"/>
      <w:szCs w:val="28"/>
    </w:rPr>
  </w:style>
  <w:style w:type="paragraph" w:styleId="Nagwek3">
    <w:name w:val="heading 3"/>
    <w:uiPriority w:val="9"/>
    <w:semiHidden/>
    <w:unhideWhenUsed/>
    <w:qFormat/>
    <w:pPr>
      <w:outlineLvl w:val="2"/>
    </w:pPr>
    <w:rPr>
      <w:color w:val="1F4D78"/>
      <w:sz w:val="24"/>
      <w:szCs w:val="24"/>
    </w:rPr>
  </w:style>
  <w:style w:type="paragraph" w:styleId="Nagwek4">
    <w:name w:val="heading 4"/>
    <w:uiPriority w:val="9"/>
    <w:semiHidden/>
    <w:unhideWhenUsed/>
    <w:qFormat/>
    <w:pPr>
      <w:outlineLvl w:val="3"/>
    </w:pPr>
    <w:rPr>
      <w:i/>
      <w:iCs/>
      <w:color w:val="2E74B5"/>
    </w:rPr>
  </w:style>
  <w:style w:type="paragraph" w:styleId="Nagwek5">
    <w:name w:val="heading 5"/>
    <w:uiPriority w:val="9"/>
    <w:semiHidden/>
    <w:unhideWhenUsed/>
    <w:qFormat/>
    <w:pPr>
      <w:outlineLvl w:val="4"/>
    </w:pPr>
    <w:rPr>
      <w:color w:val="2E74B5"/>
    </w:rPr>
  </w:style>
  <w:style w:type="paragraph" w:styleId="Nagwek6">
    <w:name w:val="heading 6"/>
    <w:uiPriority w:val="9"/>
    <w:semiHidden/>
    <w:unhideWhenUsed/>
    <w:qFormat/>
    <w:pPr>
      <w:outlineLvl w:val="5"/>
    </w:pPr>
    <w:rPr>
      <w:color w:val="1F4D7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czeinternetowe">
    <w:name w:val="Łącze internetowe"/>
    <w:uiPriority w:val="99"/>
    <w:unhideWhenUsed/>
    <w:rPr>
      <w:color w:val="0563C1"/>
      <w:u w:val="single"/>
    </w:rPr>
  </w:style>
  <w:style w:type="character" w:customStyle="1" w:styleId="Zakotwiczenieprzypisudolnego">
    <w:name w:val="Zakotwiczenie przypisu dolnego"/>
    <w:rPr>
      <w:vertAlign w:val="superscript"/>
    </w:rPr>
  </w:style>
  <w:style w:type="character" w:customStyle="1" w:styleId="FootnoteCharacters">
    <w:name w:val="Footnote Characters"/>
    <w:uiPriority w:val="99"/>
    <w:semiHidden/>
    <w:unhideWhenUsed/>
    <w:qFormat/>
    <w:rPr>
      <w:vertAlign w:val="superscript"/>
    </w:rPr>
  </w:style>
  <w:style w:type="character" w:customStyle="1" w:styleId="TekstprzypisudolnegoZnak">
    <w:name w:val="Tekst przypisu dolnego Znak"/>
    <w:link w:val="Tekstprzypisudolnego"/>
    <w:uiPriority w:val="99"/>
    <w:semiHidden/>
    <w:unhideWhenUsed/>
    <w:qFormat/>
    <w:rPr>
      <w:sz w:val="20"/>
      <w:szCs w:val="20"/>
    </w:rPr>
  </w:style>
  <w:style w:type="character" w:customStyle="1" w:styleId="Zakotwiczenieprzypisukocowego">
    <w:name w:val="Zakotwiczenie przypisu końcowego"/>
    <w:rPr>
      <w:vertAlign w:val="superscript"/>
    </w:rPr>
  </w:style>
  <w:style w:type="character" w:customStyle="1" w:styleId="EndnoteCharacters">
    <w:name w:val="Endnote Characters"/>
    <w:uiPriority w:val="99"/>
    <w:semiHidden/>
    <w:unhideWhenUsed/>
    <w:qFormat/>
    <w:rPr>
      <w:vertAlign w:val="superscript"/>
    </w:rPr>
  </w:style>
  <w:style w:type="character" w:customStyle="1" w:styleId="TekstprzypisukocowegoZnak">
    <w:name w:val="Tekst przypisu końcowego Znak"/>
    <w:link w:val="Tekstprzypisukocowego"/>
    <w:uiPriority w:val="99"/>
    <w:semiHidden/>
    <w:unhideWhenUsed/>
    <w:qFormat/>
    <w:rPr>
      <w:sz w:val="20"/>
      <w:szCs w:val="20"/>
    </w:rPr>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Tytu">
    <w:name w:val="Title"/>
    <w:uiPriority w:val="10"/>
    <w:qFormat/>
    <w:rPr>
      <w:sz w:val="56"/>
      <w:szCs w:val="56"/>
    </w:rPr>
  </w:style>
  <w:style w:type="paragraph" w:customStyle="1" w:styleId="Pogrubienie1">
    <w:name w:val="Pogrubienie1"/>
    <w:qFormat/>
    <w:rPr>
      <w:b/>
      <w:bCs/>
    </w:rPr>
  </w:style>
  <w:style w:type="paragraph" w:styleId="Akapitzlist">
    <w:name w:val="List Paragraph"/>
    <w:qFormat/>
  </w:style>
  <w:style w:type="paragraph" w:styleId="Tekstprzypisudolnego">
    <w:name w:val="footnote text"/>
    <w:link w:val="TekstprzypisudolnegoZnak"/>
    <w:uiPriority w:val="99"/>
    <w:semiHidden/>
    <w:unhideWhenUsed/>
    <w:rPr>
      <w:sz w:val="20"/>
      <w:szCs w:val="20"/>
    </w:rPr>
  </w:style>
  <w:style w:type="paragraph" w:styleId="Tekstprzypisukocowego">
    <w:name w:val="endnote text"/>
    <w:link w:val="TekstprzypisukocowegoZnak"/>
    <w:uiPriority w:val="99"/>
    <w:semiHidden/>
    <w:unhideWhenUsed/>
    <w:rPr>
      <w:sz w:val="20"/>
      <w:szCs w:val="20"/>
    </w:rPr>
  </w:style>
  <w:style w:type="paragraph" w:styleId="NormalnyWeb">
    <w:name w:val="Normal (Web)"/>
    <w:basedOn w:val="Normalny"/>
    <w:uiPriority w:val="99"/>
    <w:unhideWhenUsed/>
    <w:qFormat/>
    <w:rsid w:val="002C4579"/>
    <w:pPr>
      <w:spacing w:beforeAutospacing="1" w:afterAutospacing="1"/>
    </w:pPr>
    <w:rPr>
      <w:rFonts w:ascii="Times New Roman" w:eastAsia="Times New Roman" w:hAnsi="Times New Roman" w:cs="Times New Roman"/>
      <w:sz w:val="24"/>
      <w:szCs w:val="24"/>
    </w:rPr>
  </w:style>
  <w:style w:type="paragraph" w:styleId="Poprawka">
    <w:name w:val="Revision"/>
    <w:hidden/>
    <w:uiPriority w:val="99"/>
    <w:semiHidden/>
    <w:rsid w:val="002F11FC"/>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1142</Words>
  <Characters>6853</Characters>
  <Application>Microsoft Office Word</Application>
  <DocSecurity>0</DocSecurity>
  <Lines>57</Lines>
  <Paragraphs>15</Paragraphs>
  <ScaleCrop>false</ScaleCrop>
  <Company/>
  <LinksUpToDate>false</LinksUpToDate>
  <CharactersWithSpaces>7980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dc:description/>
  <cp:lastModifiedBy>Anna Goławska</cp:lastModifiedBy>
  <cp:revision>5</cp:revision>
  <dcterms:created xsi:type="dcterms:W3CDTF">2026-06-26T08:53:00Z</dcterms:created>
  <dcterms:modified xsi:type="dcterms:W3CDTF">2026-06-30T13:05:00Z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