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C62B" w14:textId="77777777" w:rsidR="005E2460" w:rsidRPr="00271B14" w:rsidRDefault="005E2460" w:rsidP="005E2460">
      <w:pPr>
        <w:jc w:val="both"/>
        <w:rPr>
          <w:rFonts w:asciiTheme="majorHAnsi" w:hAnsiTheme="majorHAnsi"/>
          <w:b/>
          <w:bCs/>
          <w:sz w:val="24"/>
          <w:szCs w:val="24"/>
          <w:lang w:val="en-GB"/>
        </w:rPr>
      </w:pPr>
    </w:p>
    <w:p w14:paraId="063D46B9" w14:textId="77777777" w:rsidR="00E57946" w:rsidRPr="00271B14" w:rsidRDefault="00E57946" w:rsidP="005E2460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271B14">
        <w:rPr>
          <w:rFonts w:asciiTheme="majorHAnsi" w:hAnsiTheme="majorHAnsi"/>
          <w:b/>
          <w:bCs/>
          <w:sz w:val="24"/>
          <w:szCs w:val="24"/>
        </w:rPr>
        <w:t>Tajwańskie firmy stawiają na Europę. W Warszawie zaprezentowano rozwiązania dla sektora energetycznego</w:t>
      </w:r>
    </w:p>
    <w:p w14:paraId="519629D0" w14:textId="785C412D" w:rsidR="005E2460" w:rsidRPr="00271B14" w:rsidRDefault="005E2460" w:rsidP="005E2460">
      <w:pPr>
        <w:jc w:val="both"/>
        <w:rPr>
          <w:rFonts w:asciiTheme="majorHAnsi" w:hAnsiTheme="majorHAnsi"/>
          <w:sz w:val="24"/>
          <w:szCs w:val="24"/>
        </w:rPr>
      </w:pPr>
      <w:r w:rsidRPr="00271B14">
        <w:rPr>
          <w:rFonts w:asciiTheme="majorHAnsi" w:hAnsiTheme="majorHAnsi"/>
          <w:sz w:val="24"/>
          <w:szCs w:val="24"/>
        </w:rPr>
        <w:t>Magazyny energii, inteligentne sieci elektroenergetyczne, elektromobilność oraz nowoczesne systemy zarządzania energią były jednymi z najważniejszych tematów prezentowanych podczas Taiwan Expo in Europe 2026 w Warszawie. W ramach wydarzenia swoją ofertę zaprezentował również Smart Energy Showcase – pawilon poświęcony technologiom dla sektora energetycznego, w którym 13 tajwańskich firm przedstawiło rozwiązania wspierające transformację energetyczną i rozwój nowoczesnej infrastruktury.</w:t>
      </w:r>
    </w:p>
    <w:p w14:paraId="08CEDF64" w14:textId="63D183A6" w:rsidR="005E2460" w:rsidRPr="00271B14" w:rsidRDefault="005E2460" w:rsidP="005E2460">
      <w:pPr>
        <w:jc w:val="both"/>
        <w:rPr>
          <w:rFonts w:asciiTheme="majorHAnsi" w:hAnsiTheme="majorHAnsi"/>
          <w:sz w:val="24"/>
          <w:szCs w:val="24"/>
        </w:rPr>
      </w:pPr>
      <w:r w:rsidRPr="00271B14">
        <w:rPr>
          <w:rFonts w:asciiTheme="majorHAnsi" w:hAnsiTheme="majorHAnsi"/>
          <w:sz w:val="24"/>
          <w:szCs w:val="24"/>
        </w:rPr>
        <w:t xml:space="preserve">Smart Energy Showcase był jednym z tematycznych pawilonów Taiwan Expo in Europe 2026 – wydarzenia organizowanego </w:t>
      </w:r>
      <w:r w:rsidR="003903C7" w:rsidRPr="00271B14">
        <w:rPr>
          <w:rFonts w:asciiTheme="majorHAnsi" w:hAnsiTheme="majorHAnsi" w:cs="Times New Roman"/>
          <w:sz w:val="24"/>
          <w:szCs w:val="24"/>
        </w:rPr>
        <w:t>przez International Trade Administration, MOEA (TITA), a realizowanego przez Taiwan External Trade Development Council (TAITRA)</w:t>
      </w:r>
      <w:r w:rsidRPr="00271B14">
        <w:rPr>
          <w:rFonts w:asciiTheme="majorHAnsi" w:hAnsiTheme="majorHAnsi"/>
          <w:sz w:val="24"/>
          <w:szCs w:val="24"/>
        </w:rPr>
        <w:t>. Przez trzy dni firmy prezentowały rozwiązania odpowiadające na wyzwania związane z integracją odnawialnych źródeł energii, magazynowaniem energii oraz rozwojem inteligentnych sieci elektroenergetycznych.</w:t>
      </w:r>
    </w:p>
    <w:p w14:paraId="035CB61B" w14:textId="77777777" w:rsidR="005E2460" w:rsidRPr="00271B14" w:rsidRDefault="005E2460" w:rsidP="005E2460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271B14">
        <w:rPr>
          <w:rFonts w:asciiTheme="majorHAnsi" w:hAnsiTheme="majorHAnsi"/>
          <w:b/>
          <w:bCs/>
          <w:sz w:val="24"/>
          <w:szCs w:val="24"/>
        </w:rPr>
        <w:t>Technologie dla nowoczesnej energetyki</w:t>
      </w:r>
    </w:p>
    <w:p w14:paraId="1CADCF68" w14:textId="30D8844A" w:rsidR="00FB507E" w:rsidRPr="008835F8" w:rsidRDefault="00E57946" w:rsidP="00FB507E">
      <w:pPr>
        <w:jc w:val="both"/>
        <w:rPr>
          <w:rFonts w:asciiTheme="majorHAnsi" w:hAnsiTheme="majorHAnsi"/>
          <w:sz w:val="24"/>
          <w:szCs w:val="24"/>
        </w:rPr>
      </w:pPr>
      <w:r w:rsidRPr="00271B14">
        <w:rPr>
          <w:rFonts w:asciiTheme="majorHAnsi" w:hAnsiTheme="majorHAnsi"/>
          <w:sz w:val="24"/>
          <w:szCs w:val="24"/>
        </w:rPr>
        <w:t xml:space="preserve">W pawilonie Smart Energy Showcase zaprezentowano rozwiązania obejmujące kluczowe obszary współczesnej energetyki – od magazynowania i zarządzania energią po elektromobilność, inteligentne sieci elektroenergetyczne oraz gospodarkę obiegu zamkniętego. Wśród nich znalazły się m.in. magazyny energii (BESS), systemy zarządzania energią (EMS), infrastruktura ładowania pojazdów elektrycznych, baterie sodowo-jonowe nowej generacji, rozwiązania dla inteligentnych sieci elektroenergetycznych oraz technologie wspierające recykling baterii. Wystawcy </w:t>
      </w:r>
      <w:r w:rsidR="005B49A8">
        <w:rPr>
          <w:rFonts w:asciiTheme="majorHAnsi" w:hAnsiTheme="majorHAnsi"/>
          <w:sz w:val="24"/>
          <w:szCs w:val="24"/>
        </w:rPr>
        <w:t>przedstawili</w:t>
      </w:r>
      <w:r w:rsidRPr="00271B14">
        <w:rPr>
          <w:rFonts w:asciiTheme="majorHAnsi" w:hAnsiTheme="majorHAnsi"/>
          <w:sz w:val="24"/>
          <w:szCs w:val="24"/>
        </w:rPr>
        <w:t xml:space="preserve"> zarówno rozwiązania przeznaczone dla wielkoskalowych inwestycji energetycznych, jak i komponenty wykorzystywane w nowoczesnej infrastrukturze. </w:t>
      </w:r>
      <w:r w:rsidR="005B49A8">
        <w:rPr>
          <w:rFonts w:asciiTheme="majorHAnsi" w:hAnsiTheme="majorHAnsi"/>
          <w:sz w:val="24"/>
          <w:szCs w:val="24"/>
        </w:rPr>
        <w:t>Jednym z zaprezentowanych projektów był</w:t>
      </w:r>
      <w:r w:rsidR="00FB507E" w:rsidRPr="008835F8">
        <w:rPr>
          <w:rFonts w:asciiTheme="majorHAnsi" w:hAnsiTheme="majorHAnsi"/>
          <w:sz w:val="24"/>
          <w:szCs w:val="24"/>
        </w:rPr>
        <w:t xml:space="preserve"> autonomiczny system zasilania </w:t>
      </w:r>
      <w:r w:rsidR="005B49A8">
        <w:rPr>
          <w:rFonts w:asciiTheme="majorHAnsi" w:hAnsiTheme="majorHAnsi"/>
          <w:sz w:val="24"/>
          <w:szCs w:val="24"/>
        </w:rPr>
        <w:br/>
      </w:r>
      <w:r w:rsidR="00FB507E" w:rsidRPr="008835F8">
        <w:rPr>
          <w:rFonts w:asciiTheme="majorHAnsi" w:hAnsiTheme="majorHAnsi"/>
          <w:sz w:val="24"/>
          <w:szCs w:val="24"/>
        </w:rPr>
        <w:t>off-</w:t>
      </w:r>
      <w:proofErr w:type="spellStart"/>
      <w:r w:rsidR="00FB507E" w:rsidRPr="008835F8">
        <w:rPr>
          <w:rFonts w:asciiTheme="majorHAnsi" w:hAnsiTheme="majorHAnsi"/>
          <w:sz w:val="24"/>
          <w:szCs w:val="24"/>
        </w:rPr>
        <w:t>grid</w:t>
      </w:r>
      <w:proofErr w:type="spellEnd"/>
      <w:r w:rsidR="00FB507E" w:rsidRPr="008835F8">
        <w:rPr>
          <w:rFonts w:asciiTheme="majorHAnsi" w:hAnsiTheme="majorHAnsi"/>
          <w:sz w:val="24"/>
          <w:szCs w:val="24"/>
        </w:rPr>
        <w:t xml:space="preserve"> dla budynków mieszkalnych, opracowany wspólnie przez Formosa Smart Energy Tech Corporation, JY </w:t>
      </w:r>
      <w:proofErr w:type="spellStart"/>
      <w:r w:rsidR="00FB507E" w:rsidRPr="008835F8">
        <w:rPr>
          <w:rFonts w:asciiTheme="majorHAnsi" w:hAnsiTheme="majorHAnsi"/>
          <w:sz w:val="24"/>
          <w:szCs w:val="24"/>
        </w:rPr>
        <w:t>Optoelectronic</w:t>
      </w:r>
      <w:proofErr w:type="spellEnd"/>
      <w:r w:rsidR="00FB507E" w:rsidRPr="008835F8">
        <w:rPr>
          <w:rFonts w:asciiTheme="majorHAnsi" w:hAnsiTheme="majorHAnsi"/>
          <w:sz w:val="24"/>
          <w:szCs w:val="24"/>
        </w:rPr>
        <w:t xml:space="preserve"> Devices Co., Ltd. oraz Chin Hong Battery </w:t>
      </w:r>
      <w:proofErr w:type="spellStart"/>
      <w:r w:rsidR="00FB507E" w:rsidRPr="008835F8">
        <w:rPr>
          <w:rFonts w:asciiTheme="majorHAnsi" w:hAnsiTheme="majorHAnsi"/>
          <w:sz w:val="24"/>
          <w:szCs w:val="24"/>
        </w:rPr>
        <w:t>Charger</w:t>
      </w:r>
      <w:proofErr w:type="spellEnd"/>
      <w:r w:rsidR="00FB507E" w:rsidRPr="008835F8">
        <w:rPr>
          <w:rFonts w:asciiTheme="majorHAnsi" w:hAnsiTheme="majorHAnsi"/>
          <w:sz w:val="24"/>
          <w:szCs w:val="24"/>
        </w:rPr>
        <w:t xml:space="preserve"> Co., Ltd. Rozwiązanie to </w:t>
      </w:r>
      <w:r w:rsidR="005B49A8">
        <w:rPr>
          <w:rFonts w:asciiTheme="majorHAnsi" w:hAnsiTheme="majorHAnsi"/>
          <w:sz w:val="24"/>
          <w:szCs w:val="24"/>
        </w:rPr>
        <w:t xml:space="preserve">umożliwia </w:t>
      </w:r>
      <w:r w:rsidR="00FB507E" w:rsidRPr="008835F8">
        <w:rPr>
          <w:rFonts w:asciiTheme="majorHAnsi" w:hAnsiTheme="majorHAnsi"/>
          <w:sz w:val="24"/>
          <w:szCs w:val="24"/>
        </w:rPr>
        <w:t>zapewnieni</w:t>
      </w:r>
      <w:r w:rsidR="005B49A8">
        <w:rPr>
          <w:rFonts w:asciiTheme="majorHAnsi" w:hAnsiTheme="majorHAnsi"/>
          <w:sz w:val="24"/>
          <w:szCs w:val="24"/>
        </w:rPr>
        <w:t>e</w:t>
      </w:r>
      <w:r w:rsidR="00FB507E" w:rsidRPr="008835F8">
        <w:rPr>
          <w:rFonts w:asciiTheme="majorHAnsi" w:hAnsiTheme="majorHAnsi"/>
          <w:sz w:val="24"/>
          <w:szCs w:val="24"/>
        </w:rPr>
        <w:t xml:space="preserve"> niezawodnego zasilania rezerwowego w przypadku przerw w dostawie energii elektrycznej. Formosa Smart Energy podpisała również MOU z polską grupą SKB w celu wspólnego rozwoju rynku europejskiego w obszarach magazynowania energii, autobusów elektrycznych oraz inteligentnych platform energetycznych.</w:t>
      </w:r>
    </w:p>
    <w:p w14:paraId="6B95728B" w14:textId="52FA797C" w:rsidR="005E2460" w:rsidRPr="00271B14" w:rsidRDefault="005E2460" w:rsidP="00FB507E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271B14">
        <w:rPr>
          <w:rFonts w:asciiTheme="majorHAnsi" w:hAnsiTheme="majorHAnsi"/>
          <w:b/>
          <w:bCs/>
          <w:sz w:val="24"/>
          <w:szCs w:val="24"/>
        </w:rPr>
        <w:t xml:space="preserve">Pawilon Smart Energy </w:t>
      </w:r>
      <w:proofErr w:type="spellStart"/>
      <w:r w:rsidRPr="00271B14">
        <w:rPr>
          <w:rFonts w:asciiTheme="majorHAnsi" w:hAnsiTheme="majorHAnsi"/>
          <w:b/>
          <w:bCs/>
          <w:sz w:val="24"/>
          <w:szCs w:val="24"/>
        </w:rPr>
        <w:t>Showcase</w:t>
      </w:r>
      <w:proofErr w:type="spellEnd"/>
      <w:r w:rsidRPr="00271B14">
        <w:rPr>
          <w:rFonts w:asciiTheme="majorHAnsi" w:hAnsiTheme="majorHAnsi"/>
          <w:b/>
          <w:bCs/>
          <w:sz w:val="24"/>
          <w:szCs w:val="24"/>
        </w:rPr>
        <w:t xml:space="preserve"> miejscem spotkań branży</w:t>
      </w:r>
    </w:p>
    <w:p w14:paraId="551445AC" w14:textId="2904376F" w:rsidR="005E2460" w:rsidRPr="00271B14" w:rsidRDefault="005E2460" w:rsidP="005E2460">
      <w:pPr>
        <w:jc w:val="both"/>
        <w:rPr>
          <w:rFonts w:asciiTheme="majorHAnsi" w:hAnsiTheme="majorHAnsi"/>
          <w:sz w:val="24"/>
          <w:szCs w:val="24"/>
        </w:rPr>
      </w:pPr>
      <w:r w:rsidRPr="00271B14">
        <w:rPr>
          <w:rFonts w:asciiTheme="majorHAnsi" w:hAnsiTheme="majorHAnsi"/>
          <w:sz w:val="24"/>
          <w:szCs w:val="24"/>
        </w:rPr>
        <w:t>Pawilon odwiedzili przedstawiciele sektora energetycznego, przemysłu, administracji publicznej, samorządów, inwestorzy oraz firmy zainteresowane współpracą w obszarze nowoczesnych technologii energetycznych.</w:t>
      </w:r>
      <w:r w:rsidR="00E57946" w:rsidRPr="00271B14">
        <w:rPr>
          <w:rFonts w:asciiTheme="majorHAnsi" w:hAnsiTheme="majorHAnsi"/>
          <w:sz w:val="24"/>
          <w:szCs w:val="24"/>
        </w:rPr>
        <w:t xml:space="preserve"> </w:t>
      </w:r>
      <w:r w:rsidRPr="00271B14">
        <w:rPr>
          <w:rFonts w:asciiTheme="majorHAnsi" w:hAnsiTheme="majorHAnsi"/>
          <w:sz w:val="24"/>
          <w:szCs w:val="24"/>
        </w:rPr>
        <w:t>Samo Taiwan Expo in Europe 2026 zgromadziło ponad 10 tys. uczestników z Polski i innych krajów Europy. W pawilonie Smart Energy Showcase prowadzono rozmowy dotyczące magazynowania energii, inteligentnych sieci elektroenergetycznych, elektromobilności oraz rozwiązań zwiększających bezpieczeństwo energetyczne.</w:t>
      </w:r>
    </w:p>
    <w:p w14:paraId="2CEBBA82" w14:textId="6EE3320A" w:rsidR="005E2460" w:rsidRPr="00271B14" w:rsidRDefault="005E2460" w:rsidP="005E2460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271B14">
        <w:rPr>
          <w:rFonts w:asciiTheme="majorHAnsi" w:hAnsiTheme="majorHAnsi"/>
          <w:b/>
          <w:bCs/>
          <w:sz w:val="24"/>
          <w:szCs w:val="24"/>
        </w:rPr>
        <w:t>Europa i Tajwan rozwijają współpracę technologiczną</w:t>
      </w:r>
    </w:p>
    <w:p w14:paraId="6A5ECF3C" w14:textId="77777777" w:rsidR="005E2460" w:rsidRPr="00271B14" w:rsidRDefault="005E2460" w:rsidP="005E2460">
      <w:pPr>
        <w:jc w:val="both"/>
        <w:rPr>
          <w:rFonts w:asciiTheme="majorHAnsi" w:hAnsiTheme="majorHAnsi"/>
          <w:sz w:val="24"/>
          <w:szCs w:val="24"/>
        </w:rPr>
      </w:pPr>
      <w:r w:rsidRPr="00271B14">
        <w:rPr>
          <w:rFonts w:asciiTheme="majorHAnsi" w:hAnsiTheme="majorHAnsi"/>
          <w:sz w:val="24"/>
          <w:szCs w:val="24"/>
        </w:rPr>
        <w:lastRenderedPageBreak/>
        <w:t>Organizatorzy podkreślają, że duże zainteresowanie pawilonem Smart Energy Showcase potwierdziło rosnące znaczenie współpracy technologicznej pomiędzy Europą i Tajwanem w obszarze transformacji energetycznej. Liczne spotkania biznesowe oraz prezentowane rozwiązania pokazały, że sektor energetyczny pozostaje jednym z najważniejszych obszarów współpracy gospodarczej pomiędzy obiema stronami.</w:t>
      </w:r>
    </w:p>
    <w:p w14:paraId="0C3CD7AA" w14:textId="77777777" w:rsidR="005E2460" w:rsidRPr="00271B14" w:rsidRDefault="005E2460" w:rsidP="00FB61BD">
      <w:pPr>
        <w:jc w:val="both"/>
        <w:rPr>
          <w:rFonts w:asciiTheme="majorHAnsi" w:hAnsiTheme="majorHAnsi"/>
          <w:sz w:val="24"/>
          <w:szCs w:val="24"/>
        </w:rPr>
      </w:pPr>
    </w:p>
    <w:p w14:paraId="7CC173D3" w14:textId="77777777" w:rsidR="005E2460" w:rsidRPr="00271B14" w:rsidRDefault="005E2460" w:rsidP="00FB61BD">
      <w:pPr>
        <w:jc w:val="both"/>
        <w:rPr>
          <w:rFonts w:asciiTheme="majorHAnsi" w:hAnsiTheme="majorHAnsi"/>
          <w:sz w:val="24"/>
          <w:szCs w:val="24"/>
        </w:rPr>
      </w:pPr>
    </w:p>
    <w:sectPr w:rsidR="005E2460" w:rsidRPr="00271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bordersDoNotSurroundHeader/>
  <w:bordersDoNotSurroundFooter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DE"/>
    <w:rsid w:val="000730DE"/>
    <w:rsid w:val="002146EB"/>
    <w:rsid w:val="00271B14"/>
    <w:rsid w:val="002831DB"/>
    <w:rsid w:val="0030181C"/>
    <w:rsid w:val="003903C7"/>
    <w:rsid w:val="00510EAB"/>
    <w:rsid w:val="005B49A8"/>
    <w:rsid w:val="005E2460"/>
    <w:rsid w:val="0060511D"/>
    <w:rsid w:val="00612562"/>
    <w:rsid w:val="006E00A7"/>
    <w:rsid w:val="00713E99"/>
    <w:rsid w:val="007E39D5"/>
    <w:rsid w:val="0082078D"/>
    <w:rsid w:val="008835F8"/>
    <w:rsid w:val="008A20EF"/>
    <w:rsid w:val="00927929"/>
    <w:rsid w:val="00A148BB"/>
    <w:rsid w:val="00A2061A"/>
    <w:rsid w:val="00A649AB"/>
    <w:rsid w:val="00BB6E18"/>
    <w:rsid w:val="00BD2B3F"/>
    <w:rsid w:val="00CF1A68"/>
    <w:rsid w:val="00D81926"/>
    <w:rsid w:val="00E07DAD"/>
    <w:rsid w:val="00E57946"/>
    <w:rsid w:val="00EA7739"/>
    <w:rsid w:val="00FB507E"/>
    <w:rsid w:val="00FB61B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B0DC"/>
  <w15:chartTrackingRefBased/>
  <w15:docId w15:val="{C5F2E3D8-6B0D-4DD8-B908-BDFE6335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3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3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3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3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3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3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3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3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3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3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3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3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30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30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30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30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30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30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3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3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3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3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3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30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30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30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3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30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30D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730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3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e60a43e-b414-4c11-95e6-ffd35bcc52d0}" enabled="0" method="" siteId="{1e60a43e-b414-4c11-95e6-ffd35bcc52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Goławska</dc:creator>
  <cp:keywords/>
  <dc:description/>
  <cp:lastModifiedBy>Anna Goławska</cp:lastModifiedBy>
  <cp:revision>3</cp:revision>
  <dcterms:created xsi:type="dcterms:W3CDTF">2026-06-29T12:21:00Z</dcterms:created>
  <dcterms:modified xsi:type="dcterms:W3CDTF">2026-06-29T14:45:00Z</dcterms:modified>
</cp:coreProperties>
</file>