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B00114" w14:textId="77777777" w:rsidR="005D7428" w:rsidRPr="005D7428" w:rsidRDefault="005D7428" w:rsidP="005D7428">
      <w:pPr>
        <w:spacing w:before="100" w:beforeAutospacing="1" w:after="100" w:afterAutospacing="1"/>
        <w:jc w:val="center"/>
        <w:outlineLvl w:val="0"/>
        <w:rPr>
          <w:rFonts w:eastAsia="Times New Roman" w:cs="Times New Roman"/>
          <w:b/>
          <w:bCs/>
          <w:kern w:val="36"/>
          <w:sz w:val="44"/>
          <w:szCs w:val="44"/>
          <w:lang w:eastAsia="pl-PL"/>
          <w14:ligatures w14:val="none"/>
        </w:rPr>
      </w:pPr>
      <w:r w:rsidRPr="005D7428">
        <w:rPr>
          <w:rFonts w:eastAsia="Times New Roman" w:cs="Times New Roman"/>
          <w:b/>
          <w:bCs/>
          <w:kern w:val="36"/>
          <w:sz w:val="44"/>
          <w:szCs w:val="44"/>
          <w:lang w:eastAsia="pl-PL"/>
          <w14:ligatures w14:val="none"/>
        </w:rPr>
        <w:t>Polacy mają problemy ze snem. FDM odpowiada rekordowym rozwojem sieci salonów</w:t>
      </w:r>
    </w:p>
    <w:p w14:paraId="3126210D" w14:textId="7DBEAA73" w:rsidR="005D7428" w:rsidRPr="005D7428" w:rsidRDefault="005D7428" w:rsidP="005D7428">
      <w:pPr>
        <w:spacing w:before="100" w:beforeAutospacing="1" w:after="100" w:afterAutospacing="1"/>
        <w:jc w:val="both"/>
        <w:rPr>
          <w:rFonts w:eastAsia="Times New Roman" w:cs="Times New Roman"/>
          <w:kern w:val="0"/>
          <w:sz w:val="22"/>
          <w:szCs w:val="22"/>
          <w:lang w:eastAsia="pl-PL"/>
          <w14:ligatures w14:val="none"/>
        </w:rPr>
      </w:pPr>
      <w:r w:rsidRPr="005D7428">
        <w:rPr>
          <w:rFonts w:eastAsia="Times New Roman" w:cs="Times New Roman"/>
          <w:b/>
          <w:bCs/>
          <w:kern w:val="0"/>
          <w:sz w:val="22"/>
          <w:szCs w:val="22"/>
          <w:lang w:eastAsia="pl-PL"/>
          <w14:ligatures w14:val="none"/>
        </w:rPr>
        <w:t xml:space="preserve">Ponad połowa dorosłych Polaków w wieku 18–64 lat doświadcza problemów ze snem co najmniej raz w miesiącu. Trudności z zasypianiem, nocne wybudzenia czy zbyt krótki sen mogą odbijać się nie tylko na tym, jak czujemy się rano, ale również na koncentracji i codziennym funkcjonowaniu. Nic więc dziwnego, że coraz więcej miejsca w rozmowie o zdrowym stylu życia zajmuje także to, jak śpimy i w jakich warunkach odpoczywamy. W tym samym czasie FDM rozwija sieć stacjonarną w rekordowym dotychczas tempie. W 2026 roku polski producent materacy otworzył dziewięć nowych salonów, a po uruchomieniu </w:t>
      </w:r>
      <w:r>
        <w:rPr>
          <w:rFonts w:eastAsia="Times New Roman" w:cs="Times New Roman"/>
          <w:b/>
          <w:bCs/>
          <w:kern w:val="0"/>
          <w:sz w:val="22"/>
          <w:szCs w:val="22"/>
          <w:lang w:eastAsia="pl-PL"/>
          <w14:ligatures w14:val="none"/>
        </w:rPr>
        <w:t xml:space="preserve">najnowszego </w:t>
      </w:r>
      <w:r w:rsidRPr="005D7428">
        <w:rPr>
          <w:rFonts w:eastAsia="Times New Roman" w:cs="Times New Roman"/>
          <w:b/>
          <w:bCs/>
          <w:kern w:val="0"/>
          <w:sz w:val="22"/>
          <w:szCs w:val="22"/>
          <w:lang w:eastAsia="pl-PL"/>
          <w14:ligatures w14:val="none"/>
        </w:rPr>
        <w:t>punktu w Lublinie sieć liczy</w:t>
      </w:r>
      <w:r>
        <w:rPr>
          <w:rFonts w:eastAsia="Times New Roman" w:cs="Times New Roman"/>
          <w:b/>
          <w:bCs/>
          <w:kern w:val="0"/>
          <w:sz w:val="22"/>
          <w:szCs w:val="22"/>
          <w:lang w:eastAsia="pl-PL"/>
          <w14:ligatures w14:val="none"/>
        </w:rPr>
        <w:t xml:space="preserve"> już</w:t>
      </w:r>
      <w:r w:rsidRPr="005D7428">
        <w:rPr>
          <w:rFonts w:eastAsia="Times New Roman" w:cs="Times New Roman"/>
          <w:b/>
          <w:bCs/>
          <w:kern w:val="0"/>
          <w:sz w:val="22"/>
          <w:szCs w:val="22"/>
          <w:lang w:eastAsia="pl-PL"/>
          <w14:ligatures w14:val="none"/>
        </w:rPr>
        <w:t xml:space="preserve"> 18 lokalizacji.</w:t>
      </w:r>
    </w:p>
    <w:p w14:paraId="1ECEBFD3" w14:textId="77777777" w:rsidR="005D7428" w:rsidRPr="005D7428" w:rsidRDefault="005D7428" w:rsidP="005D7428">
      <w:pPr>
        <w:spacing w:before="100" w:beforeAutospacing="1" w:after="100" w:afterAutospacing="1"/>
        <w:jc w:val="both"/>
        <w:outlineLvl w:val="1"/>
        <w:rPr>
          <w:rFonts w:eastAsia="Times New Roman" w:cs="Times New Roman"/>
          <w:b/>
          <w:bCs/>
          <w:kern w:val="0"/>
          <w:sz w:val="22"/>
          <w:szCs w:val="22"/>
          <w:lang w:eastAsia="pl-PL"/>
          <w14:ligatures w14:val="none"/>
        </w:rPr>
      </w:pPr>
      <w:r w:rsidRPr="005D7428">
        <w:rPr>
          <w:rFonts w:eastAsia="Times New Roman" w:cs="Times New Roman"/>
          <w:b/>
          <w:bCs/>
          <w:kern w:val="0"/>
          <w:sz w:val="22"/>
          <w:szCs w:val="22"/>
          <w:lang w:eastAsia="pl-PL"/>
          <w14:ligatures w14:val="none"/>
        </w:rPr>
        <w:t>Dobry sen to więcej niż odpowiednia liczba godzin</w:t>
      </w:r>
    </w:p>
    <w:p w14:paraId="63AE5926" w14:textId="45B25D1A" w:rsidR="005D7428" w:rsidRPr="005D7428" w:rsidRDefault="005D7428" w:rsidP="005D7428">
      <w:pPr>
        <w:spacing w:before="100" w:beforeAutospacing="1" w:after="100" w:afterAutospacing="1"/>
        <w:jc w:val="both"/>
        <w:rPr>
          <w:rFonts w:eastAsia="Times New Roman" w:cs="Times New Roman"/>
          <w:kern w:val="0"/>
          <w:sz w:val="22"/>
          <w:szCs w:val="22"/>
          <w:lang w:eastAsia="pl-PL"/>
          <w14:ligatures w14:val="none"/>
        </w:rPr>
      </w:pPr>
      <w:r w:rsidRPr="005D7428">
        <w:rPr>
          <w:rFonts w:eastAsia="Times New Roman" w:cs="Times New Roman"/>
          <w:kern w:val="0"/>
          <w:sz w:val="22"/>
          <w:szCs w:val="22"/>
          <w:lang w:eastAsia="pl-PL"/>
          <w14:ligatures w14:val="none"/>
        </w:rPr>
        <w:t>Problemy ze snem dotyczą znaczącej części Polaków. W ogólnopolskim badaniu obejmującym 5006 osób w wieku 18–64 lat 12 proc. respondentów deklarowało zaburzenia snu codziennie lub niemal codziennie, a 17,5 proc. – kilka razy w tygodniu. Łącznie 52 proc. badanych doświadczało ich co najmniej raz w miesiącu. Do problemów tych zaliczano m.in. trudności z zasypianiem oraz wybudzanie się w nocy połączone z problemem z ponownym zaśnięciem.</w:t>
      </w:r>
      <w:r>
        <w:rPr>
          <w:rFonts w:eastAsia="Times New Roman" w:cs="Times New Roman"/>
          <w:kern w:val="0"/>
          <w:sz w:val="22"/>
          <w:szCs w:val="22"/>
          <w:lang w:eastAsia="pl-PL"/>
          <w14:ligatures w14:val="none"/>
        </w:rPr>
        <w:t xml:space="preserve"> </w:t>
      </w:r>
      <w:r w:rsidRPr="005D7428">
        <w:rPr>
          <w:rFonts w:eastAsia="Times New Roman" w:cs="Times New Roman"/>
          <w:kern w:val="0"/>
          <w:sz w:val="22"/>
          <w:szCs w:val="22"/>
          <w:lang w:eastAsia="pl-PL"/>
          <w14:ligatures w14:val="none"/>
        </w:rPr>
        <w:t>Znaczenie snu nie kończy się na porannym poczuciu wypoczęcia. Opublikowany w 2026 roku przegląd badań dotyczących niedoboru snu wskazuje na jego związek m.in. ze zwiększonym zmęczeniem, obniżeniem czujności oraz pogorszeniem funkcji poznawczych. Sen jest więc jednym z elementów, które mają znaczenie dla naszego funkcjonowania w ciągu dnia.</w:t>
      </w:r>
    </w:p>
    <w:p w14:paraId="329EF121" w14:textId="77777777" w:rsidR="005D7428" w:rsidRPr="005D7428" w:rsidRDefault="005D7428" w:rsidP="005D7428">
      <w:pPr>
        <w:spacing w:before="100" w:beforeAutospacing="1" w:after="100" w:afterAutospacing="1"/>
        <w:jc w:val="both"/>
        <w:rPr>
          <w:rFonts w:eastAsia="Times New Roman" w:cs="Times New Roman"/>
          <w:kern w:val="0"/>
          <w:sz w:val="22"/>
          <w:szCs w:val="22"/>
          <w:lang w:eastAsia="pl-PL"/>
          <w14:ligatures w14:val="none"/>
        </w:rPr>
      </w:pPr>
      <w:r w:rsidRPr="005D7428">
        <w:rPr>
          <w:rFonts w:eastAsia="Times New Roman" w:cs="Times New Roman"/>
          <w:kern w:val="0"/>
          <w:sz w:val="22"/>
          <w:szCs w:val="22"/>
          <w:lang w:eastAsia="pl-PL"/>
          <w14:ligatures w14:val="none"/>
        </w:rPr>
        <w:t xml:space="preserve">– </w:t>
      </w:r>
      <w:r w:rsidRPr="005D7428">
        <w:rPr>
          <w:rFonts w:eastAsia="Times New Roman" w:cs="Times New Roman"/>
          <w:i/>
          <w:iCs/>
          <w:kern w:val="0"/>
          <w:sz w:val="22"/>
          <w:szCs w:val="22"/>
          <w:lang w:eastAsia="pl-PL"/>
          <w14:ligatures w14:val="none"/>
        </w:rPr>
        <w:t>Klienci coraz częściej interesują się nie tylko tym, ile godzin powinni spać, ale również tym, co może wpływać na komfort nocnego odpoczynku. Pojawiają się pytania o odpowiednią twardość materaca, jego dopasowanie do pozycji snu czy indywidualnych preferencji. I tutaj nie ma jednego rozwiązania odpowiedniego dla wszystkich. Dlatego możliwość sprawdzenia kilku modeli i porównania ich przed zakupem jest tak istotna</w:t>
      </w:r>
      <w:r w:rsidRPr="005D7428">
        <w:rPr>
          <w:rFonts w:eastAsia="Times New Roman" w:cs="Times New Roman"/>
          <w:kern w:val="0"/>
          <w:sz w:val="22"/>
          <w:szCs w:val="22"/>
          <w:lang w:eastAsia="pl-PL"/>
          <w14:ligatures w14:val="none"/>
        </w:rPr>
        <w:t xml:space="preserve"> – mówi Dominik Dziedzic, certyfikowany trener i konsultant snu w Fabryce Dobrych Materacy (FDM).</w:t>
      </w:r>
    </w:p>
    <w:p w14:paraId="16954F2A" w14:textId="77777777" w:rsidR="005D7428" w:rsidRPr="005D7428" w:rsidRDefault="005D7428" w:rsidP="005D7428">
      <w:pPr>
        <w:spacing w:before="100" w:beforeAutospacing="1" w:after="100" w:afterAutospacing="1"/>
        <w:jc w:val="both"/>
        <w:outlineLvl w:val="1"/>
        <w:rPr>
          <w:rFonts w:eastAsia="Times New Roman" w:cs="Times New Roman"/>
          <w:b/>
          <w:bCs/>
          <w:kern w:val="0"/>
          <w:sz w:val="22"/>
          <w:szCs w:val="22"/>
          <w:lang w:eastAsia="pl-PL"/>
          <w14:ligatures w14:val="none"/>
        </w:rPr>
      </w:pPr>
      <w:r w:rsidRPr="005D7428">
        <w:rPr>
          <w:rFonts w:eastAsia="Times New Roman" w:cs="Times New Roman"/>
          <w:b/>
          <w:bCs/>
          <w:kern w:val="0"/>
          <w:sz w:val="22"/>
          <w:szCs w:val="22"/>
          <w:lang w:eastAsia="pl-PL"/>
          <w14:ligatures w14:val="none"/>
        </w:rPr>
        <w:t>Od wiedzy o śnie do bardziej świadomego wyboru</w:t>
      </w:r>
    </w:p>
    <w:p w14:paraId="3472992D" w14:textId="67683339" w:rsidR="005D7428" w:rsidRPr="005D7428" w:rsidRDefault="005D7428" w:rsidP="005D7428">
      <w:pPr>
        <w:spacing w:before="100" w:beforeAutospacing="1" w:after="100" w:afterAutospacing="1"/>
        <w:jc w:val="both"/>
        <w:rPr>
          <w:rFonts w:eastAsia="Times New Roman" w:cs="Times New Roman"/>
          <w:kern w:val="0"/>
          <w:sz w:val="22"/>
          <w:szCs w:val="22"/>
          <w:lang w:eastAsia="pl-PL"/>
          <w14:ligatures w14:val="none"/>
        </w:rPr>
      </w:pPr>
      <w:r w:rsidRPr="005D7428">
        <w:rPr>
          <w:rFonts w:eastAsia="Times New Roman" w:cs="Times New Roman"/>
          <w:kern w:val="0"/>
          <w:sz w:val="22"/>
          <w:szCs w:val="22"/>
          <w:lang w:eastAsia="pl-PL"/>
          <w14:ligatures w14:val="none"/>
        </w:rPr>
        <w:t>Rosnące zainteresowanie jakością snu oznacza również więcej pytań dotyczących samej sypialni. W przypadku materaca nie wystarczy jednak kierować się ceną, popularnością konkretnego modelu czy przekonaniem, że istnieje jeden rodzaj odpowiedni dla wszystkich.</w:t>
      </w:r>
      <w:r>
        <w:rPr>
          <w:rFonts w:eastAsia="Times New Roman" w:cs="Times New Roman"/>
          <w:kern w:val="0"/>
          <w:sz w:val="22"/>
          <w:szCs w:val="22"/>
          <w:lang w:eastAsia="pl-PL"/>
          <w14:ligatures w14:val="none"/>
        </w:rPr>
        <w:t xml:space="preserve"> </w:t>
      </w:r>
      <w:r w:rsidRPr="005D7428">
        <w:rPr>
          <w:rFonts w:eastAsia="Times New Roman" w:cs="Times New Roman"/>
          <w:kern w:val="0"/>
          <w:sz w:val="22"/>
          <w:szCs w:val="22"/>
          <w:lang w:eastAsia="pl-PL"/>
          <w14:ligatures w14:val="none"/>
        </w:rPr>
        <w:t>Komfort jest indywidualny. Znaczenie mają m.in. preferencje użytkownika czy najczęściej przyjmowana pozycja podczas snu. Dlatego opis produktu i jego parametry mogą pomóc zawęzić wybór, ale nie zawsze pozwalają przewidzieć, jak konkretny materac będzie odbierany w praktyce.</w:t>
      </w:r>
      <w:r>
        <w:rPr>
          <w:rFonts w:eastAsia="Times New Roman" w:cs="Times New Roman"/>
          <w:kern w:val="0"/>
          <w:sz w:val="22"/>
          <w:szCs w:val="22"/>
          <w:lang w:eastAsia="pl-PL"/>
          <w14:ligatures w14:val="none"/>
        </w:rPr>
        <w:t xml:space="preserve"> </w:t>
      </w:r>
      <w:r w:rsidRPr="005D7428">
        <w:rPr>
          <w:rFonts w:eastAsia="Times New Roman" w:cs="Times New Roman"/>
          <w:kern w:val="0"/>
          <w:sz w:val="22"/>
          <w:szCs w:val="22"/>
          <w:lang w:eastAsia="pl-PL"/>
          <w14:ligatures w14:val="none"/>
        </w:rPr>
        <w:t>Dobrym przykładem jest często pojawiające się pytanie o to, jaki materac wybrać przy bólu pleców. Intuicyjnie można zakładać, że powinien być jak najtwardszy. Tymczasem przegląd literatury ortopedycznej opublikowany w 2026 roku wskazuje, że w przypadku nieswoistego bólu dolnego odcinka pleców najbardziej konsekwentne wyniki przemawiają za materacami średnio twardymi w porównaniu z bardzo twardymi lub bardzo miękkimi. Nie oznacza to jednak, że jeden stopień twardości będzie odpowiedni dla każdego. Utrzymujący się lub nasilający ból pleców wymaga również konsultacji ze specjalistą – zmiana materaca nie zastępuje diagnostyki.</w:t>
      </w:r>
      <w:r>
        <w:rPr>
          <w:rFonts w:eastAsia="Times New Roman" w:cs="Times New Roman"/>
          <w:kern w:val="0"/>
          <w:sz w:val="22"/>
          <w:szCs w:val="22"/>
          <w:lang w:eastAsia="pl-PL"/>
          <w14:ligatures w14:val="none"/>
        </w:rPr>
        <w:t xml:space="preserve"> </w:t>
      </w:r>
      <w:r w:rsidRPr="005D7428">
        <w:rPr>
          <w:rFonts w:eastAsia="Times New Roman" w:cs="Times New Roman"/>
          <w:kern w:val="0"/>
          <w:sz w:val="22"/>
          <w:szCs w:val="22"/>
          <w:lang w:eastAsia="pl-PL"/>
          <w14:ligatures w14:val="none"/>
        </w:rPr>
        <w:t xml:space="preserve">To właśnie możliwość porównania kilku rozwiązań jest jedną z przewag zakupów stacjonarnych. Nie </w:t>
      </w:r>
      <w:r w:rsidRPr="005D7428">
        <w:rPr>
          <w:rFonts w:eastAsia="Times New Roman" w:cs="Times New Roman"/>
          <w:kern w:val="0"/>
          <w:sz w:val="22"/>
          <w:szCs w:val="22"/>
          <w:lang w:eastAsia="pl-PL"/>
          <w14:ligatures w14:val="none"/>
        </w:rPr>
        <w:lastRenderedPageBreak/>
        <w:t>chodzi o to, że kilka minut spędzonych na materacu pozwoli przewidzieć komfort każdej nocy przez kolejne lata, ale o skonfrontowanie parametrów produktu z własnymi odczuciami.</w:t>
      </w:r>
    </w:p>
    <w:p w14:paraId="2B6B2A57" w14:textId="77777777" w:rsidR="005D7428" w:rsidRPr="005D7428" w:rsidRDefault="005D7428" w:rsidP="005D7428">
      <w:pPr>
        <w:spacing w:before="100" w:beforeAutospacing="1" w:after="100" w:afterAutospacing="1"/>
        <w:jc w:val="both"/>
        <w:outlineLvl w:val="1"/>
        <w:rPr>
          <w:rFonts w:eastAsia="Times New Roman" w:cs="Times New Roman"/>
          <w:b/>
          <w:bCs/>
          <w:kern w:val="0"/>
          <w:sz w:val="22"/>
          <w:szCs w:val="22"/>
          <w:lang w:eastAsia="pl-PL"/>
          <w14:ligatures w14:val="none"/>
        </w:rPr>
      </w:pPr>
      <w:r w:rsidRPr="005D7428">
        <w:rPr>
          <w:rFonts w:eastAsia="Times New Roman" w:cs="Times New Roman"/>
          <w:b/>
          <w:bCs/>
          <w:kern w:val="0"/>
          <w:sz w:val="22"/>
          <w:szCs w:val="22"/>
          <w:lang w:eastAsia="pl-PL"/>
          <w14:ligatures w14:val="none"/>
        </w:rPr>
        <w:t>Dziewięć nowych salonów w rok. FDM przyspiesza rozwój sieci</w:t>
      </w:r>
    </w:p>
    <w:p w14:paraId="6BCEB5D5" w14:textId="3D0CCC6A" w:rsidR="005D7428" w:rsidRPr="005D7428" w:rsidRDefault="005D7428" w:rsidP="005D7428">
      <w:pPr>
        <w:spacing w:before="100" w:beforeAutospacing="1" w:after="100" w:afterAutospacing="1"/>
        <w:jc w:val="both"/>
        <w:rPr>
          <w:rFonts w:eastAsia="Times New Roman" w:cs="Times New Roman"/>
          <w:kern w:val="0"/>
          <w:sz w:val="22"/>
          <w:szCs w:val="22"/>
          <w:lang w:eastAsia="pl-PL"/>
          <w14:ligatures w14:val="none"/>
        </w:rPr>
      </w:pPr>
      <w:r w:rsidRPr="005D7428">
        <w:rPr>
          <w:rFonts w:eastAsia="Times New Roman" w:cs="Times New Roman"/>
          <w:kern w:val="0"/>
          <w:sz w:val="22"/>
          <w:szCs w:val="22"/>
          <w:lang w:eastAsia="pl-PL"/>
          <w14:ligatures w14:val="none"/>
        </w:rPr>
        <w:t xml:space="preserve">Kanał stacjonarny pozostaje więc istotny również w czasach, gdy znaczna część poszukiwania informacji i porównywania produktów odbywa się w </w:t>
      </w:r>
      <w:proofErr w:type="spellStart"/>
      <w:r w:rsidRPr="005D7428">
        <w:rPr>
          <w:rFonts w:eastAsia="Times New Roman" w:cs="Times New Roman"/>
          <w:kern w:val="0"/>
          <w:sz w:val="22"/>
          <w:szCs w:val="22"/>
          <w:lang w:eastAsia="pl-PL"/>
          <w14:ligatures w14:val="none"/>
        </w:rPr>
        <w:t>internecie</w:t>
      </w:r>
      <w:proofErr w:type="spellEnd"/>
      <w:r w:rsidRPr="005D7428">
        <w:rPr>
          <w:rFonts w:eastAsia="Times New Roman" w:cs="Times New Roman"/>
          <w:kern w:val="0"/>
          <w:sz w:val="22"/>
          <w:szCs w:val="22"/>
          <w:lang w:eastAsia="pl-PL"/>
          <w14:ligatures w14:val="none"/>
        </w:rPr>
        <w:t>. W przypadku wyposażenia sypialni oba sposoby zakupu mogą pełnić różne funkcje: online można poznać ofertę i porównać parametry, natomiast w salonie – zobaczyć produkty, sprawdzić różne rozwiązania i skorzystać z doradztwa.</w:t>
      </w:r>
      <w:r>
        <w:rPr>
          <w:rFonts w:eastAsia="Times New Roman" w:cs="Times New Roman"/>
          <w:kern w:val="0"/>
          <w:sz w:val="22"/>
          <w:szCs w:val="22"/>
          <w:lang w:eastAsia="pl-PL"/>
          <w14:ligatures w14:val="none"/>
        </w:rPr>
        <w:t xml:space="preserve"> </w:t>
      </w:r>
      <w:r w:rsidRPr="005D7428">
        <w:rPr>
          <w:rFonts w:eastAsia="Times New Roman" w:cs="Times New Roman"/>
          <w:kern w:val="0"/>
          <w:sz w:val="22"/>
          <w:szCs w:val="22"/>
          <w:lang w:eastAsia="pl-PL"/>
          <w14:ligatures w14:val="none"/>
        </w:rPr>
        <w:t>Właśnie ten kanał FDM rozwija w 2026 roku w rekordowym dotychczas tempie. W ciągu roku polski producent materacy otworzył dziewięć nowych salonów – o trzy więcej niż w całym 2025 roku. To najwyższa liczba otwarć w jednym roku w historii marki.</w:t>
      </w:r>
      <w:r>
        <w:rPr>
          <w:rFonts w:eastAsia="Times New Roman" w:cs="Times New Roman"/>
          <w:kern w:val="0"/>
          <w:sz w:val="22"/>
          <w:szCs w:val="22"/>
          <w:lang w:eastAsia="pl-PL"/>
          <w14:ligatures w14:val="none"/>
        </w:rPr>
        <w:t xml:space="preserve"> </w:t>
      </w:r>
      <w:r w:rsidRPr="005D7428">
        <w:rPr>
          <w:rFonts w:eastAsia="Times New Roman" w:cs="Times New Roman"/>
          <w:kern w:val="0"/>
          <w:sz w:val="22"/>
          <w:szCs w:val="22"/>
          <w:lang w:eastAsia="pl-PL"/>
          <w14:ligatures w14:val="none"/>
        </w:rPr>
        <w:t>Nowe punkty pojawiły się w Poznaniu w Galerii Polskie Meble, Rzeszowie, Żorach, Gdańsku, Bielsku-Białej, Siemianowicach Śląskich, Katowicach i Olsztynie. Dziewiątą tegoroczną lokalizacją jest Lublin. Po jej otwarciu sieć FDM liczy łącznie 18 salonów stacjonarnych w Polsce. Oznacza to, że połowę całej sieci stanowią punkty uruchomione tylko w 2026 roku.</w:t>
      </w:r>
    </w:p>
    <w:p w14:paraId="74228ADC" w14:textId="4B08027B" w:rsidR="005D7428" w:rsidRPr="005D7428" w:rsidRDefault="005D7428" w:rsidP="005D7428">
      <w:pPr>
        <w:spacing w:before="100" w:beforeAutospacing="1" w:after="100" w:afterAutospacing="1"/>
        <w:jc w:val="both"/>
        <w:rPr>
          <w:rFonts w:eastAsia="Times New Roman" w:cs="Times New Roman"/>
          <w:kern w:val="0"/>
          <w:sz w:val="22"/>
          <w:szCs w:val="22"/>
          <w:lang w:eastAsia="pl-PL"/>
          <w14:ligatures w14:val="none"/>
        </w:rPr>
      </w:pPr>
      <w:r w:rsidRPr="005D7428">
        <w:rPr>
          <w:rFonts w:eastAsia="Times New Roman" w:cs="Times New Roman"/>
          <w:kern w:val="0"/>
          <w:sz w:val="22"/>
          <w:szCs w:val="22"/>
          <w:lang w:eastAsia="pl-PL"/>
          <w14:ligatures w14:val="none"/>
        </w:rPr>
        <w:t xml:space="preserve">– </w:t>
      </w:r>
      <w:r w:rsidRPr="005D7428">
        <w:rPr>
          <w:rFonts w:eastAsia="Times New Roman" w:cs="Times New Roman"/>
          <w:i/>
          <w:iCs/>
          <w:kern w:val="0"/>
          <w:sz w:val="22"/>
          <w:szCs w:val="22"/>
          <w:lang w:eastAsia="pl-PL"/>
          <w14:ligatures w14:val="none"/>
        </w:rPr>
        <w:t>Dziewięć nowych salonów w jednym roku to dla nas rekord, ale sama liczba otwarć nie jest celem. Zależy nam przede wszystkim na zwiększaniu dostępności miejsc, w których klient może zobaczyć produkty, porównać różne modele i skorzystać z doradztwa. W przypadku materaca jest to szczególnie ważne, ponieważ jego wybór powinien uwzględniać indywidualne potrzeby i odczucia użytkownika</w:t>
      </w:r>
      <w:r w:rsidRPr="005D7428">
        <w:rPr>
          <w:rFonts w:eastAsia="Times New Roman" w:cs="Times New Roman"/>
          <w:kern w:val="0"/>
          <w:sz w:val="22"/>
          <w:szCs w:val="22"/>
          <w:lang w:eastAsia="pl-PL"/>
          <w14:ligatures w14:val="none"/>
        </w:rPr>
        <w:t xml:space="preserve"> – mówi Dominik Dziedzic</w:t>
      </w:r>
      <w:r w:rsidRPr="005D7428">
        <w:rPr>
          <w:rFonts w:eastAsia="Times New Roman" w:cs="Times New Roman"/>
          <w:kern w:val="0"/>
          <w:sz w:val="22"/>
          <w:szCs w:val="22"/>
          <w:lang w:eastAsia="pl-PL"/>
          <w14:ligatures w14:val="none"/>
        </w:rPr>
        <w:t xml:space="preserve"> </w:t>
      </w:r>
      <w:r>
        <w:rPr>
          <w:rFonts w:eastAsia="Times New Roman" w:cs="Times New Roman"/>
          <w:kern w:val="0"/>
          <w:sz w:val="22"/>
          <w:szCs w:val="22"/>
          <w:lang w:eastAsia="pl-PL"/>
          <w14:ligatures w14:val="none"/>
        </w:rPr>
        <w:t xml:space="preserve">z </w:t>
      </w:r>
      <w:r w:rsidRPr="005D7428">
        <w:rPr>
          <w:rFonts w:eastAsia="Times New Roman" w:cs="Times New Roman"/>
          <w:kern w:val="0"/>
          <w:sz w:val="22"/>
          <w:szCs w:val="22"/>
          <w:lang w:eastAsia="pl-PL"/>
          <w14:ligatures w14:val="none"/>
        </w:rPr>
        <w:t>Fabryk</w:t>
      </w:r>
      <w:r>
        <w:rPr>
          <w:rFonts w:eastAsia="Times New Roman" w:cs="Times New Roman"/>
          <w:kern w:val="0"/>
          <w:sz w:val="22"/>
          <w:szCs w:val="22"/>
          <w:lang w:eastAsia="pl-PL"/>
          <w14:ligatures w14:val="none"/>
        </w:rPr>
        <w:t>i</w:t>
      </w:r>
      <w:r w:rsidRPr="005D7428">
        <w:rPr>
          <w:rFonts w:eastAsia="Times New Roman" w:cs="Times New Roman"/>
          <w:kern w:val="0"/>
          <w:sz w:val="22"/>
          <w:szCs w:val="22"/>
          <w:lang w:eastAsia="pl-PL"/>
          <w14:ligatures w14:val="none"/>
        </w:rPr>
        <w:t xml:space="preserve"> Dobrych Materacy (FDM).</w:t>
      </w:r>
    </w:p>
    <w:p w14:paraId="6C361C12" w14:textId="77777777" w:rsidR="005D7428" w:rsidRPr="005D7428" w:rsidRDefault="005D7428" w:rsidP="005D7428">
      <w:pPr>
        <w:spacing w:before="100" w:beforeAutospacing="1" w:after="100" w:afterAutospacing="1"/>
        <w:jc w:val="both"/>
        <w:outlineLvl w:val="1"/>
        <w:rPr>
          <w:rFonts w:eastAsia="Times New Roman" w:cs="Times New Roman"/>
          <w:b/>
          <w:bCs/>
          <w:kern w:val="0"/>
          <w:sz w:val="22"/>
          <w:szCs w:val="22"/>
          <w:lang w:eastAsia="pl-PL"/>
          <w14:ligatures w14:val="none"/>
        </w:rPr>
      </w:pPr>
      <w:r w:rsidRPr="005D7428">
        <w:rPr>
          <w:rFonts w:eastAsia="Times New Roman" w:cs="Times New Roman"/>
          <w:b/>
          <w:bCs/>
          <w:kern w:val="0"/>
          <w:sz w:val="22"/>
          <w:szCs w:val="22"/>
          <w:lang w:eastAsia="pl-PL"/>
          <w14:ligatures w14:val="none"/>
        </w:rPr>
        <w:t>Internet podpowiada, salon pozwala sprawdzić</w:t>
      </w:r>
    </w:p>
    <w:p w14:paraId="0EA2511B" w14:textId="486D9794" w:rsidR="005D7428" w:rsidRPr="005D7428" w:rsidRDefault="005D7428" w:rsidP="005D7428">
      <w:pPr>
        <w:spacing w:before="100" w:beforeAutospacing="1" w:after="100" w:afterAutospacing="1"/>
        <w:jc w:val="both"/>
        <w:rPr>
          <w:rFonts w:eastAsia="Times New Roman" w:cs="Times New Roman"/>
          <w:kern w:val="0"/>
          <w:sz w:val="22"/>
          <w:szCs w:val="22"/>
          <w:lang w:eastAsia="pl-PL"/>
          <w14:ligatures w14:val="none"/>
        </w:rPr>
      </w:pPr>
      <w:r w:rsidRPr="005D7428">
        <w:rPr>
          <w:rFonts w:eastAsia="Times New Roman" w:cs="Times New Roman"/>
          <w:kern w:val="0"/>
          <w:sz w:val="22"/>
          <w:szCs w:val="22"/>
          <w:lang w:eastAsia="pl-PL"/>
          <w14:ligatures w14:val="none"/>
        </w:rPr>
        <w:t>Rozwój sieci stacjonarnej nie musi oznaczać odwrotu od zakupów online. W przypadku materacy oba kanały mogą się uzupełniać. Internet pozwala wcześniej sprawdzić dostępne modele, konstrukcję, materiały czy ceny. Wizyta w salonie daje natomiast możliwość zweryfikowania tych informacji w praktyce.</w:t>
      </w:r>
      <w:r>
        <w:rPr>
          <w:rFonts w:eastAsia="Times New Roman" w:cs="Times New Roman"/>
          <w:kern w:val="0"/>
          <w:sz w:val="22"/>
          <w:szCs w:val="22"/>
          <w:lang w:eastAsia="pl-PL"/>
          <w14:ligatures w14:val="none"/>
        </w:rPr>
        <w:t xml:space="preserve"> </w:t>
      </w:r>
      <w:r w:rsidRPr="005D7428">
        <w:rPr>
          <w:rFonts w:eastAsia="Times New Roman" w:cs="Times New Roman"/>
          <w:kern w:val="0"/>
          <w:sz w:val="22"/>
          <w:szCs w:val="22"/>
          <w:lang w:eastAsia="pl-PL"/>
          <w14:ligatures w14:val="none"/>
        </w:rPr>
        <w:t>Ma to szczególne znaczenie przy produkcie, z którego korzystamy każdej nocy i którego komfort trudno ocenić wyłącznie na podstawie zdjęcia lub specyfikacji technicznej. Sam fakt, że jeden użytkownik dobrze ocenia konkretny materac, nie oznacza jeszcze, że będzie on równie komfortowy dla innej osoby.</w:t>
      </w:r>
    </w:p>
    <w:p w14:paraId="040E2D56" w14:textId="1793DB52" w:rsidR="005D7428" w:rsidRPr="005D7428" w:rsidRDefault="005D7428" w:rsidP="005D7428">
      <w:pPr>
        <w:spacing w:before="100" w:beforeAutospacing="1" w:after="100" w:afterAutospacing="1"/>
        <w:jc w:val="both"/>
        <w:rPr>
          <w:rFonts w:eastAsia="Times New Roman" w:cs="Times New Roman"/>
          <w:kern w:val="0"/>
          <w:sz w:val="22"/>
          <w:szCs w:val="22"/>
          <w:lang w:eastAsia="pl-PL"/>
          <w14:ligatures w14:val="none"/>
        </w:rPr>
      </w:pPr>
      <w:r w:rsidRPr="005D7428">
        <w:rPr>
          <w:rFonts w:eastAsia="Times New Roman" w:cs="Times New Roman"/>
          <w:kern w:val="0"/>
          <w:sz w:val="22"/>
          <w:szCs w:val="22"/>
          <w:lang w:eastAsia="pl-PL"/>
          <w14:ligatures w14:val="none"/>
        </w:rPr>
        <w:t xml:space="preserve">– </w:t>
      </w:r>
      <w:r w:rsidRPr="005D7428">
        <w:rPr>
          <w:rFonts w:eastAsia="Times New Roman" w:cs="Times New Roman"/>
          <w:i/>
          <w:iCs/>
          <w:kern w:val="0"/>
          <w:sz w:val="22"/>
          <w:szCs w:val="22"/>
          <w:lang w:eastAsia="pl-PL"/>
          <w14:ligatures w14:val="none"/>
        </w:rPr>
        <w:t>Materaca nie warto wybierać wyłącznie na podstawie ceny czy przekonania, że konkretny stopień twardości będzie odpowiedni dla każdego. Komfort jest indywidualny, dlatego możliwość porównania kilku modeli pomaga lepiej ocenić własne preferencje. Nie chodzi o znalezienie jednego „najlepszego” materaca, ale rozwiązania odpowiednio dopasowanego do konkretnej osoby</w:t>
      </w:r>
      <w:r w:rsidRPr="005D7428">
        <w:rPr>
          <w:rFonts w:eastAsia="Times New Roman" w:cs="Times New Roman"/>
          <w:kern w:val="0"/>
          <w:sz w:val="22"/>
          <w:szCs w:val="22"/>
          <w:lang w:eastAsia="pl-PL"/>
          <w14:ligatures w14:val="none"/>
        </w:rPr>
        <w:t xml:space="preserve"> – mówi Dominik Dziedzic</w:t>
      </w:r>
      <w:r>
        <w:rPr>
          <w:rFonts w:eastAsia="Times New Roman" w:cs="Times New Roman"/>
          <w:kern w:val="0"/>
          <w:sz w:val="22"/>
          <w:szCs w:val="22"/>
          <w:lang w:eastAsia="pl-PL"/>
          <w14:ligatures w14:val="none"/>
        </w:rPr>
        <w:t>.</w:t>
      </w:r>
    </w:p>
    <w:p w14:paraId="2EEDFC62" w14:textId="77777777" w:rsidR="005D7428" w:rsidRPr="005D7428" w:rsidRDefault="005D7428" w:rsidP="005D7428">
      <w:pPr>
        <w:spacing w:before="100" w:beforeAutospacing="1" w:after="100" w:afterAutospacing="1"/>
        <w:jc w:val="both"/>
        <w:outlineLvl w:val="1"/>
        <w:rPr>
          <w:rFonts w:eastAsia="Times New Roman" w:cs="Times New Roman"/>
          <w:b/>
          <w:bCs/>
          <w:kern w:val="0"/>
          <w:sz w:val="22"/>
          <w:szCs w:val="22"/>
          <w:lang w:eastAsia="pl-PL"/>
          <w14:ligatures w14:val="none"/>
        </w:rPr>
      </w:pPr>
      <w:r w:rsidRPr="005D7428">
        <w:rPr>
          <w:rFonts w:eastAsia="Times New Roman" w:cs="Times New Roman"/>
          <w:b/>
          <w:bCs/>
          <w:kern w:val="0"/>
          <w:sz w:val="22"/>
          <w:szCs w:val="22"/>
          <w:lang w:eastAsia="pl-PL"/>
          <w14:ligatures w14:val="none"/>
        </w:rPr>
        <w:t>Rekord otwarć, ale kierunek pozostaje ten sam</w:t>
      </w:r>
    </w:p>
    <w:p w14:paraId="06239C77" w14:textId="44587590" w:rsidR="005D7428" w:rsidRDefault="005D7428" w:rsidP="005D7428">
      <w:pPr>
        <w:spacing w:before="100" w:beforeAutospacing="1" w:after="100" w:afterAutospacing="1"/>
        <w:jc w:val="both"/>
        <w:rPr>
          <w:rFonts w:eastAsia="Times New Roman" w:cs="Times New Roman"/>
          <w:kern w:val="0"/>
          <w:sz w:val="22"/>
          <w:szCs w:val="22"/>
          <w:lang w:eastAsia="pl-PL"/>
          <w14:ligatures w14:val="none"/>
        </w:rPr>
      </w:pPr>
      <w:r w:rsidRPr="005D7428">
        <w:rPr>
          <w:rFonts w:eastAsia="Times New Roman" w:cs="Times New Roman"/>
          <w:kern w:val="0"/>
          <w:sz w:val="22"/>
          <w:szCs w:val="22"/>
          <w:lang w:eastAsia="pl-PL"/>
          <w14:ligatures w14:val="none"/>
        </w:rPr>
        <w:t xml:space="preserve">FDM </w:t>
      </w:r>
      <w:r>
        <w:rPr>
          <w:rFonts w:eastAsia="Times New Roman" w:cs="Times New Roman"/>
          <w:kern w:val="0"/>
          <w:sz w:val="22"/>
          <w:szCs w:val="22"/>
          <w:lang w:eastAsia="pl-PL"/>
          <w14:ligatures w14:val="none"/>
        </w:rPr>
        <w:t>obecnie posiada</w:t>
      </w:r>
      <w:r w:rsidRPr="005D7428">
        <w:rPr>
          <w:rFonts w:eastAsia="Times New Roman" w:cs="Times New Roman"/>
          <w:kern w:val="0"/>
          <w:sz w:val="22"/>
          <w:szCs w:val="22"/>
          <w:lang w:eastAsia="pl-PL"/>
          <w14:ligatures w14:val="none"/>
        </w:rPr>
        <w:t xml:space="preserve"> 18 punktów stacjonarnych w Polsce, z czego dziewięć zostało otwartych w samym 2026 roku. Dla firmy to rekordowy rok pod względem tempa rozwoju sieci, ale jednocześnie kontynuacja modelu łączącego sprzedaż internetową z możliwością bezpośredniego kontaktu z produktem.</w:t>
      </w:r>
      <w:r>
        <w:rPr>
          <w:rFonts w:eastAsia="Times New Roman" w:cs="Times New Roman"/>
          <w:kern w:val="0"/>
          <w:sz w:val="22"/>
          <w:szCs w:val="22"/>
          <w:lang w:eastAsia="pl-PL"/>
          <w14:ligatures w14:val="none"/>
        </w:rPr>
        <w:t xml:space="preserve"> </w:t>
      </w:r>
      <w:r w:rsidRPr="005D7428">
        <w:rPr>
          <w:rFonts w:eastAsia="Times New Roman" w:cs="Times New Roman"/>
          <w:kern w:val="0"/>
          <w:sz w:val="22"/>
          <w:szCs w:val="22"/>
          <w:lang w:eastAsia="pl-PL"/>
          <w14:ligatures w14:val="none"/>
        </w:rPr>
        <w:t>Ma to znaczenie szczególnie w kategorii związanej ze snem. Wiedza o tym, że nocny odpoczynek wpływa na nasze samopoczucie i codzienne funkcjonowanie, nie daje jeszcze odpowiedzi na pytanie, jaki materac będzie odpowiedni dla konkretnej osoby. Tutaj nie ma jednego rozwiązania dla wszystkich.</w:t>
      </w:r>
      <w:r>
        <w:rPr>
          <w:rFonts w:eastAsia="Times New Roman" w:cs="Times New Roman"/>
          <w:kern w:val="0"/>
          <w:sz w:val="22"/>
          <w:szCs w:val="22"/>
          <w:lang w:eastAsia="pl-PL"/>
          <w14:ligatures w14:val="none"/>
        </w:rPr>
        <w:t xml:space="preserve"> </w:t>
      </w:r>
      <w:r w:rsidRPr="005D7428">
        <w:rPr>
          <w:rFonts w:eastAsia="Times New Roman" w:cs="Times New Roman"/>
          <w:kern w:val="0"/>
          <w:sz w:val="22"/>
          <w:szCs w:val="22"/>
          <w:lang w:eastAsia="pl-PL"/>
          <w14:ligatures w14:val="none"/>
        </w:rPr>
        <w:t xml:space="preserve">Im więcej wiemy o znaczeniu snu, tym bardziej zasadne staje się więc świadome podejście również do miejsca, w którym śpimy. Nie oznacza to konieczności wybierania najdroższego wyposażenia czy wymiany całej sypialni. Ważniejsze jest dopasowanie jej do własnych potrzeb – a w przypadku materaca </w:t>
      </w:r>
      <w:r w:rsidRPr="005D7428">
        <w:rPr>
          <w:rFonts w:eastAsia="Times New Roman" w:cs="Times New Roman"/>
          <w:kern w:val="0"/>
          <w:sz w:val="22"/>
          <w:szCs w:val="22"/>
          <w:lang w:eastAsia="pl-PL"/>
          <w14:ligatures w14:val="none"/>
        </w:rPr>
        <w:lastRenderedPageBreak/>
        <w:t>możliwość sprawdzenia różnych rozwiązań przed zakupem może być jednym z elementów takiej świadomej decyzji.</w:t>
      </w:r>
    </w:p>
    <w:p w14:paraId="56C81E43" w14:textId="77777777" w:rsidR="005D7428" w:rsidRDefault="005D7428" w:rsidP="005D7428">
      <w:pPr>
        <w:spacing w:before="100" w:beforeAutospacing="1" w:after="100" w:afterAutospacing="1"/>
        <w:jc w:val="both"/>
        <w:rPr>
          <w:rFonts w:eastAsia="Times New Roman" w:cs="Times New Roman"/>
          <w:kern w:val="0"/>
          <w:sz w:val="22"/>
          <w:szCs w:val="22"/>
          <w:lang w:eastAsia="pl-PL"/>
          <w14:ligatures w14:val="none"/>
        </w:rPr>
      </w:pPr>
    </w:p>
    <w:p w14:paraId="1C0C122D" w14:textId="77777777" w:rsidR="005D7428" w:rsidRPr="005D7428" w:rsidRDefault="005D7428" w:rsidP="005D7428">
      <w:pPr>
        <w:spacing w:before="100" w:beforeAutospacing="1" w:after="100" w:afterAutospacing="1"/>
        <w:jc w:val="both"/>
        <w:rPr>
          <w:rFonts w:eastAsia="Times New Roman" w:cs="Times New Roman"/>
          <w:kern w:val="0"/>
          <w:sz w:val="22"/>
          <w:szCs w:val="22"/>
          <w:lang w:eastAsia="pl-PL"/>
          <w14:ligatures w14:val="none"/>
        </w:rPr>
      </w:pPr>
    </w:p>
    <w:p w14:paraId="1F363947" w14:textId="0D26288E" w:rsidR="005D7428" w:rsidRPr="005D7428" w:rsidRDefault="005D7428" w:rsidP="005D7428">
      <w:pPr>
        <w:spacing w:before="100" w:beforeAutospacing="1" w:after="100" w:afterAutospacing="1"/>
        <w:jc w:val="both"/>
        <w:outlineLvl w:val="2"/>
        <w:rPr>
          <w:rFonts w:eastAsia="Times New Roman" w:cs="Times New Roman"/>
          <w:b/>
          <w:bCs/>
          <w:kern w:val="0"/>
          <w:sz w:val="22"/>
          <w:szCs w:val="22"/>
          <w:lang w:eastAsia="pl-PL"/>
          <w14:ligatures w14:val="none"/>
        </w:rPr>
      </w:pPr>
      <w:r w:rsidRPr="005D7428">
        <w:rPr>
          <w:rFonts w:eastAsia="Times New Roman" w:cs="Times New Roman"/>
          <w:b/>
          <w:bCs/>
          <w:kern w:val="0"/>
          <w:sz w:val="22"/>
          <w:szCs w:val="22"/>
          <w:lang w:eastAsia="pl-PL"/>
          <w14:ligatures w14:val="none"/>
        </w:rPr>
        <w:t>Źródła</w:t>
      </w:r>
      <w:r>
        <w:rPr>
          <w:rFonts w:eastAsia="Times New Roman" w:cs="Times New Roman"/>
          <w:b/>
          <w:bCs/>
          <w:kern w:val="0"/>
          <w:sz w:val="22"/>
          <w:szCs w:val="22"/>
          <w:lang w:eastAsia="pl-PL"/>
          <w14:ligatures w14:val="none"/>
        </w:rPr>
        <w:t>:</w:t>
      </w:r>
    </w:p>
    <w:p w14:paraId="55469537" w14:textId="77777777" w:rsidR="005D7428" w:rsidRDefault="005D7428" w:rsidP="005D7428">
      <w:pPr>
        <w:spacing w:before="100" w:beforeAutospacing="1" w:after="100" w:afterAutospacing="1"/>
        <w:jc w:val="both"/>
        <w:rPr>
          <w:rFonts w:eastAsia="Times New Roman" w:cs="Times New Roman"/>
          <w:kern w:val="0"/>
          <w:sz w:val="20"/>
          <w:szCs w:val="20"/>
          <w:lang w:eastAsia="pl-PL"/>
          <w14:ligatures w14:val="none"/>
        </w:rPr>
      </w:pPr>
      <w:r w:rsidRPr="005D7428">
        <w:rPr>
          <w:rFonts w:eastAsia="Times New Roman" w:cs="Times New Roman"/>
          <w:kern w:val="0"/>
          <w:sz w:val="20"/>
          <w:szCs w:val="20"/>
          <w:lang w:eastAsia="pl-PL"/>
          <w14:ligatures w14:val="none"/>
        </w:rPr>
        <w:t xml:space="preserve">Sierpiński R., Jankowski M., Kamińska A., Raciborski F. (2026), </w:t>
      </w:r>
      <w:r w:rsidRPr="005D7428">
        <w:rPr>
          <w:rFonts w:eastAsia="Times New Roman" w:cs="Times New Roman"/>
          <w:i/>
          <w:iCs/>
          <w:kern w:val="0"/>
          <w:sz w:val="20"/>
          <w:szCs w:val="20"/>
          <w:lang w:eastAsia="pl-PL"/>
          <w14:ligatures w14:val="none"/>
        </w:rPr>
        <w:t xml:space="preserve">The </w:t>
      </w:r>
      <w:proofErr w:type="spellStart"/>
      <w:r w:rsidRPr="005D7428">
        <w:rPr>
          <w:rFonts w:eastAsia="Times New Roman" w:cs="Times New Roman"/>
          <w:i/>
          <w:iCs/>
          <w:kern w:val="0"/>
          <w:sz w:val="20"/>
          <w:szCs w:val="20"/>
          <w:lang w:eastAsia="pl-PL"/>
          <w14:ligatures w14:val="none"/>
        </w:rPr>
        <w:t>prevalence</w:t>
      </w:r>
      <w:proofErr w:type="spellEnd"/>
      <w:r w:rsidRPr="005D7428">
        <w:rPr>
          <w:rFonts w:eastAsia="Times New Roman" w:cs="Times New Roman"/>
          <w:i/>
          <w:iCs/>
          <w:kern w:val="0"/>
          <w:sz w:val="20"/>
          <w:szCs w:val="20"/>
          <w:lang w:eastAsia="pl-PL"/>
          <w14:ligatures w14:val="none"/>
        </w:rPr>
        <w:t xml:space="preserve"> of </w:t>
      </w:r>
      <w:proofErr w:type="spellStart"/>
      <w:r w:rsidRPr="005D7428">
        <w:rPr>
          <w:rFonts w:eastAsia="Times New Roman" w:cs="Times New Roman"/>
          <w:i/>
          <w:iCs/>
          <w:kern w:val="0"/>
          <w:sz w:val="20"/>
          <w:szCs w:val="20"/>
          <w:lang w:eastAsia="pl-PL"/>
          <w14:ligatures w14:val="none"/>
        </w:rPr>
        <w:t>short</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sleep</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duration</w:t>
      </w:r>
      <w:proofErr w:type="spellEnd"/>
      <w:r w:rsidRPr="005D7428">
        <w:rPr>
          <w:rFonts w:eastAsia="Times New Roman" w:cs="Times New Roman"/>
          <w:i/>
          <w:iCs/>
          <w:kern w:val="0"/>
          <w:sz w:val="20"/>
          <w:szCs w:val="20"/>
          <w:lang w:eastAsia="pl-PL"/>
          <w14:ligatures w14:val="none"/>
        </w:rPr>
        <w:t xml:space="preserve"> and </w:t>
      </w:r>
      <w:proofErr w:type="spellStart"/>
      <w:r w:rsidRPr="005D7428">
        <w:rPr>
          <w:rFonts w:eastAsia="Times New Roman" w:cs="Times New Roman"/>
          <w:i/>
          <w:iCs/>
          <w:kern w:val="0"/>
          <w:sz w:val="20"/>
          <w:szCs w:val="20"/>
          <w:lang w:eastAsia="pl-PL"/>
          <w14:ligatures w14:val="none"/>
        </w:rPr>
        <w:t>sleep</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disturbances</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among</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working-age</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adults</w:t>
      </w:r>
      <w:proofErr w:type="spellEnd"/>
      <w:r w:rsidRPr="005D7428">
        <w:rPr>
          <w:rFonts w:eastAsia="Times New Roman" w:cs="Times New Roman"/>
          <w:i/>
          <w:iCs/>
          <w:kern w:val="0"/>
          <w:sz w:val="20"/>
          <w:szCs w:val="20"/>
          <w:lang w:eastAsia="pl-PL"/>
          <w14:ligatures w14:val="none"/>
        </w:rPr>
        <w:t xml:space="preserve"> in Poland – a </w:t>
      </w:r>
      <w:proofErr w:type="spellStart"/>
      <w:r w:rsidRPr="005D7428">
        <w:rPr>
          <w:rFonts w:eastAsia="Times New Roman" w:cs="Times New Roman"/>
          <w:i/>
          <w:iCs/>
          <w:kern w:val="0"/>
          <w:sz w:val="20"/>
          <w:szCs w:val="20"/>
          <w:lang w:eastAsia="pl-PL"/>
          <w14:ligatures w14:val="none"/>
        </w:rPr>
        <w:t>secondary</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analysis</w:t>
      </w:r>
      <w:proofErr w:type="spellEnd"/>
      <w:r w:rsidRPr="005D7428">
        <w:rPr>
          <w:rFonts w:eastAsia="Times New Roman" w:cs="Times New Roman"/>
          <w:kern w:val="0"/>
          <w:sz w:val="20"/>
          <w:szCs w:val="20"/>
          <w:lang w:eastAsia="pl-PL"/>
          <w14:ligatures w14:val="none"/>
        </w:rPr>
        <w:t>, „</w:t>
      </w:r>
      <w:proofErr w:type="spellStart"/>
      <w:r w:rsidRPr="005D7428">
        <w:rPr>
          <w:rFonts w:eastAsia="Times New Roman" w:cs="Times New Roman"/>
          <w:kern w:val="0"/>
          <w:sz w:val="20"/>
          <w:szCs w:val="20"/>
          <w:lang w:eastAsia="pl-PL"/>
          <w14:ligatures w14:val="none"/>
        </w:rPr>
        <w:t>Frontiers</w:t>
      </w:r>
      <w:proofErr w:type="spellEnd"/>
      <w:r w:rsidRPr="005D7428">
        <w:rPr>
          <w:rFonts w:eastAsia="Times New Roman" w:cs="Times New Roman"/>
          <w:kern w:val="0"/>
          <w:sz w:val="20"/>
          <w:szCs w:val="20"/>
          <w:lang w:eastAsia="pl-PL"/>
          <w14:ligatures w14:val="none"/>
        </w:rPr>
        <w:t xml:space="preserve"> in Public </w:t>
      </w:r>
      <w:proofErr w:type="spellStart"/>
      <w:r w:rsidRPr="005D7428">
        <w:rPr>
          <w:rFonts w:eastAsia="Times New Roman" w:cs="Times New Roman"/>
          <w:kern w:val="0"/>
          <w:sz w:val="20"/>
          <w:szCs w:val="20"/>
          <w:lang w:eastAsia="pl-PL"/>
          <w14:ligatures w14:val="none"/>
        </w:rPr>
        <w:t>Health</w:t>
      </w:r>
      <w:proofErr w:type="spellEnd"/>
      <w:r w:rsidRPr="005D7428">
        <w:rPr>
          <w:rFonts w:eastAsia="Times New Roman" w:cs="Times New Roman"/>
          <w:kern w:val="0"/>
          <w:sz w:val="20"/>
          <w:szCs w:val="20"/>
          <w:lang w:eastAsia="pl-PL"/>
          <w14:ligatures w14:val="none"/>
        </w:rPr>
        <w:t>”, 14:1812130, DOI: 10.3389/fpubh.2026.1812130.</w:t>
      </w:r>
    </w:p>
    <w:p w14:paraId="7200360B" w14:textId="77777777" w:rsidR="005D7428" w:rsidRDefault="005D7428" w:rsidP="005D7428">
      <w:pPr>
        <w:spacing w:before="100" w:beforeAutospacing="1" w:after="100" w:afterAutospacing="1"/>
        <w:jc w:val="both"/>
        <w:rPr>
          <w:rFonts w:eastAsia="Times New Roman" w:cs="Times New Roman"/>
          <w:kern w:val="0"/>
          <w:sz w:val="20"/>
          <w:szCs w:val="20"/>
          <w:lang w:eastAsia="pl-PL"/>
          <w14:ligatures w14:val="none"/>
        </w:rPr>
      </w:pPr>
      <w:r w:rsidRPr="005D7428">
        <w:rPr>
          <w:rFonts w:eastAsia="Times New Roman" w:cs="Times New Roman"/>
          <w:kern w:val="0"/>
          <w:sz w:val="20"/>
          <w:szCs w:val="20"/>
          <w:lang w:eastAsia="pl-PL"/>
          <w14:ligatures w14:val="none"/>
        </w:rPr>
        <w:t xml:space="preserve">Fan Y-Z., </w:t>
      </w:r>
      <w:proofErr w:type="spellStart"/>
      <w:r w:rsidRPr="005D7428">
        <w:rPr>
          <w:rFonts w:eastAsia="Times New Roman" w:cs="Times New Roman"/>
          <w:kern w:val="0"/>
          <w:sz w:val="20"/>
          <w:szCs w:val="20"/>
          <w:lang w:eastAsia="pl-PL"/>
          <w14:ligatures w14:val="none"/>
        </w:rPr>
        <w:t>Liu</w:t>
      </w:r>
      <w:proofErr w:type="spellEnd"/>
      <w:r w:rsidRPr="005D7428">
        <w:rPr>
          <w:rFonts w:eastAsia="Times New Roman" w:cs="Times New Roman"/>
          <w:kern w:val="0"/>
          <w:sz w:val="20"/>
          <w:szCs w:val="20"/>
          <w:lang w:eastAsia="pl-PL"/>
          <w14:ligatures w14:val="none"/>
        </w:rPr>
        <w:t xml:space="preserve"> G-D., </w:t>
      </w:r>
      <w:proofErr w:type="spellStart"/>
      <w:r w:rsidRPr="005D7428">
        <w:rPr>
          <w:rFonts w:eastAsia="Times New Roman" w:cs="Times New Roman"/>
          <w:kern w:val="0"/>
          <w:sz w:val="20"/>
          <w:szCs w:val="20"/>
          <w:lang w:eastAsia="pl-PL"/>
          <w14:ligatures w14:val="none"/>
        </w:rPr>
        <w:t>Zhang</w:t>
      </w:r>
      <w:proofErr w:type="spellEnd"/>
      <w:r w:rsidRPr="005D7428">
        <w:rPr>
          <w:rFonts w:eastAsia="Times New Roman" w:cs="Times New Roman"/>
          <w:kern w:val="0"/>
          <w:sz w:val="20"/>
          <w:szCs w:val="20"/>
          <w:lang w:eastAsia="pl-PL"/>
          <w14:ligatures w14:val="none"/>
        </w:rPr>
        <w:t xml:space="preserve"> A-N., </w:t>
      </w:r>
      <w:proofErr w:type="spellStart"/>
      <w:r w:rsidRPr="005D7428">
        <w:rPr>
          <w:rFonts w:eastAsia="Times New Roman" w:cs="Times New Roman"/>
          <w:kern w:val="0"/>
          <w:sz w:val="20"/>
          <w:szCs w:val="20"/>
          <w:lang w:eastAsia="pl-PL"/>
          <w14:ligatures w14:val="none"/>
        </w:rPr>
        <w:t>Wang</w:t>
      </w:r>
      <w:proofErr w:type="spellEnd"/>
      <w:r w:rsidRPr="005D7428">
        <w:rPr>
          <w:rFonts w:eastAsia="Times New Roman" w:cs="Times New Roman"/>
          <w:kern w:val="0"/>
          <w:sz w:val="20"/>
          <w:szCs w:val="20"/>
          <w:lang w:eastAsia="pl-PL"/>
          <w14:ligatures w14:val="none"/>
        </w:rPr>
        <w:t xml:space="preserve"> Y., Cheng Y-Q. (2026), </w:t>
      </w:r>
      <w:proofErr w:type="spellStart"/>
      <w:r w:rsidRPr="005D7428">
        <w:rPr>
          <w:rFonts w:eastAsia="Times New Roman" w:cs="Times New Roman"/>
          <w:i/>
          <w:iCs/>
          <w:kern w:val="0"/>
          <w:sz w:val="20"/>
          <w:szCs w:val="20"/>
          <w:lang w:eastAsia="pl-PL"/>
          <w14:ligatures w14:val="none"/>
        </w:rPr>
        <w:t>Sleep</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deprivation</w:t>
      </w:r>
      <w:proofErr w:type="spellEnd"/>
      <w:r w:rsidRPr="005D7428">
        <w:rPr>
          <w:rFonts w:eastAsia="Times New Roman" w:cs="Times New Roman"/>
          <w:i/>
          <w:iCs/>
          <w:kern w:val="0"/>
          <w:sz w:val="20"/>
          <w:szCs w:val="20"/>
          <w:lang w:eastAsia="pl-PL"/>
          <w14:ligatures w14:val="none"/>
        </w:rPr>
        <w:t xml:space="preserve">: a </w:t>
      </w:r>
      <w:proofErr w:type="spellStart"/>
      <w:r w:rsidRPr="005D7428">
        <w:rPr>
          <w:rFonts w:eastAsia="Times New Roman" w:cs="Times New Roman"/>
          <w:i/>
          <w:iCs/>
          <w:kern w:val="0"/>
          <w:sz w:val="20"/>
          <w:szCs w:val="20"/>
          <w:lang w:eastAsia="pl-PL"/>
          <w14:ligatures w14:val="none"/>
        </w:rPr>
        <w:t>comprehensive</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review</w:t>
      </w:r>
      <w:proofErr w:type="spellEnd"/>
      <w:r w:rsidRPr="005D7428">
        <w:rPr>
          <w:rFonts w:eastAsia="Times New Roman" w:cs="Times New Roman"/>
          <w:i/>
          <w:iCs/>
          <w:kern w:val="0"/>
          <w:sz w:val="20"/>
          <w:szCs w:val="20"/>
          <w:lang w:eastAsia="pl-PL"/>
          <w14:ligatures w14:val="none"/>
        </w:rPr>
        <w:t xml:space="preserve"> of </w:t>
      </w:r>
      <w:proofErr w:type="spellStart"/>
      <w:r w:rsidRPr="005D7428">
        <w:rPr>
          <w:rFonts w:eastAsia="Times New Roman" w:cs="Times New Roman"/>
          <w:i/>
          <w:iCs/>
          <w:kern w:val="0"/>
          <w:sz w:val="20"/>
          <w:szCs w:val="20"/>
          <w:lang w:eastAsia="pl-PL"/>
          <w14:ligatures w14:val="none"/>
        </w:rPr>
        <w:t>multisystem</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impacts</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underlying</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mechanisms</w:t>
      </w:r>
      <w:proofErr w:type="spellEnd"/>
      <w:r w:rsidRPr="005D7428">
        <w:rPr>
          <w:rFonts w:eastAsia="Times New Roman" w:cs="Times New Roman"/>
          <w:i/>
          <w:iCs/>
          <w:kern w:val="0"/>
          <w:sz w:val="20"/>
          <w:szCs w:val="20"/>
          <w:lang w:eastAsia="pl-PL"/>
          <w14:ligatures w14:val="none"/>
        </w:rPr>
        <w:t xml:space="preserve">, and </w:t>
      </w:r>
      <w:proofErr w:type="spellStart"/>
      <w:r w:rsidRPr="005D7428">
        <w:rPr>
          <w:rFonts w:eastAsia="Times New Roman" w:cs="Times New Roman"/>
          <w:i/>
          <w:iCs/>
          <w:kern w:val="0"/>
          <w:sz w:val="20"/>
          <w:szCs w:val="20"/>
          <w:lang w:eastAsia="pl-PL"/>
          <w14:ligatures w14:val="none"/>
        </w:rPr>
        <w:t>emerging</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interventions</w:t>
      </w:r>
      <w:proofErr w:type="spellEnd"/>
      <w:r w:rsidRPr="005D7428">
        <w:rPr>
          <w:rFonts w:eastAsia="Times New Roman" w:cs="Times New Roman"/>
          <w:kern w:val="0"/>
          <w:sz w:val="20"/>
          <w:szCs w:val="20"/>
          <w:lang w:eastAsia="pl-PL"/>
          <w14:ligatures w14:val="none"/>
        </w:rPr>
        <w:t>, „</w:t>
      </w:r>
      <w:proofErr w:type="spellStart"/>
      <w:r w:rsidRPr="005D7428">
        <w:rPr>
          <w:rFonts w:eastAsia="Times New Roman" w:cs="Times New Roman"/>
          <w:kern w:val="0"/>
          <w:sz w:val="20"/>
          <w:szCs w:val="20"/>
          <w:lang w:eastAsia="pl-PL"/>
          <w14:ligatures w14:val="none"/>
        </w:rPr>
        <w:t>Frontiers</w:t>
      </w:r>
      <w:proofErr w:type="spellEnd"/>
      <w:r w:rsidRPr="005D7428">
        <w:rPr>
          <w:rFonts w:eastAsia="Times New Roman" w:cs="Times New Roman"/>
          <w:kern w:val="0"/>
          <w:sz w:val="20"/>
          <w:szCs w:val="20"/>
          <w:lang w:eastAsia="pl-PL"/>
          <w14:ligatures w14:val="none"/>
        </w:rPr>
        <w:t xml:space="preserve"> in </w:t>
      </w:r>
      <w:proofErr w:type="spellStart"/>
      <w:r w:rsidRPr="005D7428">
        <w:rPr>
          <w:rFonts w:eastAsia="Times New Roman" w:cs="Times New Roman"/>
          <w:kern w:val="0"/>
          <w:sz w:val="20"/>
          <w:szCs w:val="20"/>
          <w:lang w:eastAsia="pl-PL"/>
          <w14:ligatures w14:val="none"/>
        </w:rPr>
        <w:t>Neurology</w:t>
      </w:r>
      <w:proofErr w:type="spellEnd"/>
      <w:r w:rsidRPr="005D7428">
        <w:rPr>
          <w:rFonts w:eastAsia="Times New Roman" w:cs="Times New Roman"/>
          <w:kern w:val="0"/>
          <w:sz w:val="20"/>
          <w:szCs w:val="20"/>
          <w:lang w:eastAsia="pl-PL"/>
          <w14:ligatures w14:val="none"/>
        </w:rPr>
        <w:t>”, 17:1819968, DOI: 10.3389/fneur.2026.1819968.</w:t>
      </w:r>
    </w:p>
    <w:p w14:paraId="30688922" w14:textId="507D4D02" w:rsidR="005D7428" w:rsidRPr="005D7428" w:rsidRDefault="005D7428" w:rsidP="005D7428">
      <w:pPr>
        <w:spacing w:before="100" w:beforeAutospacing="1" w:after="100" w:afterAutospacing="1"/>
        <w:jc w:val="both"/>
        <w:rPr>
          <w:rFonts w:eastAsia="Times New Roman" w:cs="Times New Roman"/>
          <w:kern w:val="0"/>
          <w:sz w:val="20"/>
          <w:szCs w:val="20"/>
          <w:lang w:eastAsia="pl-PL"/>
          <w14:ligatures w14:val="none"/>
        </w:rPr>
      </w:pPr>
      <w:proofErr w:type="spellStart"/>
      <w:r w:rsidRPr="005D7428">
        <w:rPr>
          <w:rFonts w:eastAsia="Times New Roman" w:cs="Times New Roman"/>
          <w:kern w:val="0"/>
          <w:sz w:val="20"/>
          <w:szCs w:val="20"/>
          <w:lang w:eastAsia="pl-PL"/>
          <w14:ligatures w14:val="none"/>
        </w:rPr>
        <w:t>D’Adamo</w:t>
      </w:r>
      <w:proofErr w:type="spellEnd"/>
      <w:r w:rsidRPr="005D7428">
        <w:rPr>
          <w:rFonts w:eastAsia="Times New Roman" w:cs="Times New Roman"/>
          <w:kern w:val="0"/>
          <w:sz w:val="20"/>
          <w:szCs w:val="20"/>
          <w:lang w:eastAsia="pl-PL"/>
          <w14:ligatures w14:val="none"/>
        </w:rPr>
        <w:t xml:space="preserve"> C. i in. (2026), </w:t>
      </w:r>
      <w:proofErr w:type="spellStart"/>
      <w:r w:rsidRPr="005D7428">
        <w:rPr>
          <w:rFonts w:eastAsia="Times New Roman" w:cs="Times New Roman"/>
          <w:i/>
          <w:iCs/>
          <w:kern w:val="0"/>
          <w:sz w:val="20"/>
          <w:szCs w:val="20"/>
          <w:lang w:eastAsia="pl-PL"/>
          <w14:ligatures w14:val="none"/>
        </w:rPr>
        <w:t>Mattress</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impact</w:t>
      </w:r>
      <w:proofErr w:type="spellEnd"/>
      <w:r w:rsidRPr="005D7428">
        <w:rPr>
          <w:rFonts w:eastAsia="Times New Roman" w:cs="Times New Roman"/>
          <w:i/>
          <w:iCs/>
          <w:kern w:val="0"/>
          <w:sz w:val="20"/>
          <w:szCs w:val="20"/>
          <w:lang w:eastAsia="pl-PL"/>
          <w14:ligatures w14:val="none"/>
        </w:rPr>
        <w:t xml:space="preserve"> on </w:t>
      </w:r>
      <w:proofErr w:type="spellStart"/>
      <w:r w:rsidRPr="005D7428">
        <w:rPr>
          <w:rFonts w:eastAsia="Times New Roman" w:cs="Times New Roman"/>
          <w:i/>
          <w:iCs/>
          <w:kern w:val="0"/>
          <w:sz w:val="20"/>
          <w:szCs w:val="20"/>
          <w:lang w:eastAsia="pl-PL"/>
          <w14:ligatures w14:val="none"/>
        </w:rPr>
        <w:t>lifestyle</w:t>
      </w:r>
      <w:proofErr w:type="spellEnd"/>
      <w:r w:rsidRPr="005D7428">
        <w:rPr>
          <w:rFonts w:eastAsia="Times New Roman" w:cs="Times New Roman"/>
          <w:i/>
          <w:iCs/>
          <w:kern w:val="0"/>
          <w:sz w:val="20"/>
          <w:szCs w:val="20"/>
          <w:lang w:eastAsia="pl-PL"/>
          <w14:ligatures w14:val="none"/>
        </w:rPr>
        <w:t xml:space="preserve"> and </w:t>
      </w:r>
      <w:proofErr w:type="spellStart"/>
      <w:r w:rsidRPr="005D7428">
        <w:rPr>
          <w:rFonts w:eastAsia="Times New Roman" w:cs="Times New Roman"/>
          <w:i/>
          <w:iCs/>
          <w:kern w:val="0"/>
          <w:sz w:val="20"/>
          <w:szCs w:val="20"/>
          <w:lang w:eastAsia="pl-PL"/>
          <w14:ligatures w14:val="none"/>
        </w:rPr>
        <w:t>back</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pain</w:t>
      </w:r>
      <w:proofErr w:type="spellEnd"/>
      <w:r w:rsidRPr="005D7428">
        <w:rPr>
          <w:rFonts w:eastAsia="Times New Roman" w:cs="Times New Roman"/>
          <w:i/>
          <w:iCs/>
          <w:kern w:val="0"/>
          <w:sz w:val="20"/>
          <w:szCs w:val="20"/>
          <w:lang w:eastAsia="pl-PL"/>
          <w14:ligatures w14:val="none"/>
        </w:rPr>
        <w:t xml:space="preserve">: a 25-year </w:t>
      </w:r>
      <w:proofErr w:type="spellStart"/>
      <w:r w:rsidRPr="005D7428">
        <w:rPr>
          <w:rFonts w:eastAsia="Times New Roman" w:cs="Times New Roman"/>
          <w:i/>
          <w:iCs/>
          <w:kern w:val="0"/>
          <w:sz w:val="20"/>
          <w:szCs w:val="20"/>
          <w:lang w:eastAsia="pl-PL"/>
          <w14:ligatures w14:val="none"/>
        </w:rPr>
        <w:t>orthopedic</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literature</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review</w:t>
      </w:r>
      <w:proofErr w:type="spellEnd"/>
      <w:r w:rsidRPr="005D7428">
        <w:rPr>
          <w:rFonts w:eastAsia="Times New Roman" w:cs="Times New Roman"/>
          <w:i/>
          <w:iCs/>
          <w:kern w:val="0"/>
          <w:sz w:val="20"/>
          <w:szCs w:val="20"/>
          <w:lang w:eastAsia="pl-PL"/>
          <w14:ligatures w14:val="none"/>
        </w:rPr>
        <w:t xml:space="preserve"> </w:t>
      </w:r>
      <w:proofErr w:type="spellStart"/>
      <w:r w:rsidRPr="005D7428">
        <w:rPr>
          <w:rFonts w:eastAsia="Times New Roman" w:cs="Times New Roman"/>
          <w:i/>
          <w:iCs/>
          <w:kern w:val="0"/>
          <w:sz w:val="20"/>
          <w:szCs w:val="20"/>
          <w:lang w:eastAsia="pl-PL"/>
          <w14:ligatures w14:val="none"/>
        </w:rPr>
        <w:t>guideline</w:t>
      </w:r>
      <w:proofErr w:type="spellEnd"/>
      <w:r w:rsidRPr="005D7428">
        <w:rPr>
          <w:rFonts w:eastAsia="Times New Roman" w:cs="Times New Roman"/>
          <w:kern w:val="0"/>
          <w:sz w:val="20"/>
          <w:szCs w:val="20"/>
          <w:lang w:eastAsia="pl-PL"/>
          <w14:ligatures w14:val="none"/>
        </w:rPr>
        <w:t>, „</w:t>
      </w:r>
      <w:proofErr w:type="spellStart"/>
      <w:r w:rsidRPr="005D7428">
        <w:rPr>
          <w:rFonts w:eastAsia="Times New Roman" w:cs="Times New Roman"/>
          <w:kern w:val="0"/>
          <w:sz w:val="20"/>
          <w:szCs w:val="20"/>
          <w:lang w:eastAsia="pl-PL"/>
          <w14:ligatures w14:val="none"/>
        </w:rPr>
        <w:t>Journal</w:t>
      </w:r>
      <w:proofErr w:type="spellEnd"/>
      <w:r w:rsidRPr="005D7428">
        <w:rPr>
          <w:rFonts w:eastAsia="Times New Roman" w:cs="Times New Roman"/>
          <w:kern w:val="0"/>
          <w:sz w:val="20"/>
          <w:szCs w:val="20"/>
          <w:lang w:eastAsia="pl-PL"/>
          <w14:ligatures w14:val="none"/>
        </w:rPr>
        <w:t xml:space="preserve"> of </w:t>
      </w:r>
      <w:proofErr w:type="spellStart"/>
      <w:r w:rsidRPr="005D7428">
        <w:rPr>
          <w:rFonts w:eastAsia="Times New Roman" w:cs="Times New Roman"/>
          <w:kern w:val="0"/>
          <w:sz w:val="20"/>
          <w:szCs w:val="20"/>
          <w:lang w:eastAsia="pl-PL"/>
          <w14:ligatures w14:val="none"/>
        </w:rPr>
        <w:t>Orthopaedics</w:t>
      </w:r>
      <w:proofErr w:type="spellEnd"/>
      <w:r w:rsidRPr="005D7428">
        <w:rPr>
          <w:rFonts w:eastAsia="Times New Roman" w:cs="Times New Roman"/>
          <w:kern w:val="0"/>
          <w:sz w:val="20"/>
          <w:szCs w:val="20"/>
          <w:lang w:eastAsia="pl-PL"/>
          <w14:ligatures w14:val="none"/>
        </w:rPr>
        <w:t xml:space="preserve"> and </w:t>
      </w:r>
      <w:proofErr w:type="spellStart"/>
      <w:r w:rsidRPr="005D7428">
        <w:rPr>
          <w:rFonts w:eastAsia="Times New Roman" w:cs="Times New Roman"/>
          <w:kern w:val="0"/>
          <w:sz w:val="20"/>
          <w:szCs w:val="20"/>
          <w:lang w:eastAsia="pl-PL"/>
          <w14:ligatures w14:val="none"/>
        </w:rPr>
        <w:t>Traumatology</w:t>
      </w:r>
      <w:proofErr w:type="spellEnd"/>
      <w:r w:rsidRPr="005D7428">
        <w:rPr>
          <w:rFonts w:eastAsia="Times New Roman" w:cs="Times New Roman"/>
          <w:kern w:val="0"/>
          <w:sz w:val="20"/>
          <w:szCs w:val="20"/>
          <w:lang w:eastAsia="pl-PL"/>
          <w14:ligatures w14:val="none"/>
        </w:rPr>
        <w:t xml:space="preserve">”, DOI: 10.1186/s10195-026-00945-3. </w:t>
      </w:r>
    </w:p>
    <w:sectPr w:rsidR="005D7428" w:rsidRPr="005D74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428"/>
    <w:rsid w:val="0016568D"/>
    <w:rsid w:val="003C151B"/>
    <w:rsid w:val="005925A5"/>
    <w:rsid w:val="005D7428"/>
    <w:rsid w:val="00F61897"/>
    <w:rsid w:val="00FE5B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4A646E92"/>
  <w15:chartTrackingRefBased/>
  <w15:docId w15:val="{83B2086B-FC46-9045-AF3A-23F1252C8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D7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5D7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5D742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D742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D742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D7428"/>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D7428"/>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D7428"/>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D7428"/>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D742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5D742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5D742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D742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D742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D742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D742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D742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D7428"/>
    <w:rPr>
      <w:rFonts w:eastAsiaTheme="majorEastAsia" w:cstheme="majorBidi"/>
      <w:color w:val="272727" w:themeColor="text1" w:themeTint="D8"/>
    </w:rPr>
  </w:style>
  <w:style w:type="paragraph" w:styleId="Tytu">
    <w:name w:val="Title"/>
    <w:basedOn w:val="Normalny"/>
    <w:next w:val="Normalny"/>
    <w:link w:val="TytuZnak"/>
    <w:uiPriority w:val="10"/>
    <w:qFormat/>
    <w:rsid w:val="005D7428"/>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D742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D7428"/>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D742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D7428"/>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5D7428"/>
    <w:rPr>
      <w:i/>
      <w:iCs/>
      <w:color w:val="404040" w:themeColor="text1" w:themeTint="BF"/>
    </w:rPr>
  </w:style>
  <w:style w:type="paragraph" w:styleId="Akapitzlist">
    <w:name w:val="List Paragraph"/>
    <w:basedOn w:val="Normalny"/>
    <w:uiPriority w:val="34"/>
    <w:qFormat/>
    <w:rsid w:val="005D7428"/>
    <w:pPr>
      <w:ind w:left="720"/>
      <w:contextualSpacing/>
    </w:pPr>
  </w:style>
  <w:style w:type="character" w:styleId="Wyrnienieintensywne">
    <w:name w:val="Intense Emphasis"/>
    <w:basedOn w:val="Domylnaczcionkaakapitu"/>
    <w:uiPriority w:val="21"/>
    <w:qFormat/>
    <w:rsid w:val="005D7428"/>
    <w:rPr>
      <w:i/>
      <w:iCs/>
      <w:color w:val="0F4761" w:themeColor="accent1" w:themeShade="BF"/>
    </w:rPr>
  </w:style>
  <w:style w:type="paragraph" w:styleId="Cytatintensywny">
    <w:name w:val="Intense Quote"/>
    <w:basedOn w:val="Normalny"/>
    <w:next w:val="Normalny"/>
    <w:link w:val="CytatintensywnyZnak"/>
    <w:uiPriority w:val="30"/>
    <w:qFormat/>
    <w:rsid w:val="005D7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D7428"/>
    <w:rPr>
      <w:i/>
      <w:iCs/>
      <w:color w:val="0F4761" w:themeColor="accent1" w:themeShade="BF"/>
    </w:rPr>
  </w:style>
  <w:style w:type="character" w:styleId="Odwoanieintensywne">
    <w:name w:val="Intense Reference"/>
    <w:basedOn w:val="Domylnaczcionkaakapitu"/>
    <w:uiPriority w:val="32"/>
    <w:qFormat/>
    <w:rsid w:val="005D7428"/>
    <w:rPr>
      <w:b/>
      <w:bCs/>
      <w:smallCaps/>
      <w:color w:val="0F4761" w:themeColor="accent1" w:themeShade="BF"/>
      <w:spacing w:val="5"/>
    </w:rPr>
  </w:style>
  <w:style w:type="paragraph" w:styleId="NormalnyWeb">
    <w:name w:val="Normal (Web)"/>
    <w:basedOn w:val="Normalny"/>
    <w:uiPriority w:val="99"/>
    <w:semiHidden/>
    <w:unhideWhenUsed/>
    <w:rsid w:val="005D7428"/>
    <w:pPr>
      <w:spacing w:before="100" w:beforeAutospacing="1" w:after="100" w:afterAutospacing="1"/>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5D7428"/>
    <w:rPr>
      <w:b/>
      <w:bCs/>
    </w:rPr>
  </w:style>
  <w:style w:type="character" w:styleId="Uwydatnienie">
    <w:name w:val="Emphasis"/>
    <w:basedOn w:val="Domylnaczcionkaakapitu"/>
    <w:uiPriority w:val="20"/>
    <w:qFormat/>
    <w:rsid w:val="005D74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1072</Words>
  <Characters>6735</Characters>
  <Application>Microsoft Office Word</Application>
  <DocSecurity>0</DocSecurity>
  <Lines>112</Lines>
  <Paragraphs>55</Paragraphs>
  <ScaleCrop>false</ScaleCrop>
  <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m.szkudlarek@int.pl</dc:creator>
  <cp:keywords/>
  <dc:description/>
  <cp:lastModifiedBy>m.szkudlarek@int.pl</cp:lastModifiedBy>
  <cp:revision>1</cp:revision>
  <dcterms:created xsi:type="dcterms:W3CDTF">2026-10-06T10:33:00Z</dcterms:created>
  <dcterms:modified xsi:type="dcterms:W3CDTF">2026-10-06T13:18:00Z</dcterms:modified>
</cp:coreProperties>
</file>