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591E27" w14:textId="77777777" w:rsidR="00537EB3" w:rsidRPr="00537EB3" w:rsidRDefault="00537EB3" w:rsidP="00537EB3">
      <w:pPr>
        <w:spacing w:before="100" w:beforeAutospacing="1" w:after="100" w:afterAutospacing="1"/>
        <w:jc w:val="both"/>
        <w:outlineLvl w:val="0"/>
        <w:rPr>
          <w:rFonts w:eastAsia="Times New Roman" w:cs="Times New Roman"/>
          <w:b/>
          <w:bCs/>
          <w:kern w:val="36"/>
          <w:sz w:val="40"/>
          <w:szCs w:val="40"/>
          <w:lang w:eastAsia="pl-PL"/>
          <w14:ligatures w14:val="none"/>
        </w:rPr>
      </w:pPr>
      <w:r w:rsidRPr="00537EB3">
        <w:rPr>
          <w:rFonts w:eastAsia="Times New Roman" w:cs="Times New Roman"/>
          <w:b/>
          <w:bCs/>
          <w:kern w:val="36"/>
          <w:sz w:val="40"/>
          <w:szCs w:val="40"/>
          <w:lang w:eastAsia="pl-PL"/>
          <w14:ligatures w14:val="none"/>
        </w:rPr>
        <w:t>Śpisz na boku, plecach czy brzuchu? Sprawdź, co może być przyczyną porannego bólu pleców</w:t>
      </w:r>
    </w:p>
    <w:p w14:paraId="2BE686B3" w14:textId="77777777" w:rsidR="00537EB3" w:rsidRPr="00537EB3" w:rsidRDefault="00537EB3" w:rsidP="00537EB3">
      <w:pPr>
        <w:spacing w:before="100" w:beforeAutospacing="1" w:after="100" w:afterAutospacing="1"/>
        <w:jc w:val="both"/>
        <w:rPr>
          <w:rFonts w:eastAsia="Times New Roman" w:cs="Times New Roman"/>
          <w:kern w:val="0"/>
          <w:lang w:eastAsia="pl-PL"/>
          <w14:ligatures w14:val="none"/>
        </w:rPr>
      </w:pPr>
      <w:r w:rsidRPr="00537EB3">
        <w:rPr>
          <w:rFonts w:eastAsia="Times New Roman" w:cs="Times New Roman"/>
          <w:b/>
          <w:bCs/>
          <w:kern w:val="0"/>
          <w:lang w:eastAsia="pl-PL"/>
          <w14:ligatures w14:val="none"/>
        </w:rPr>
        <w:t>Budzisz się z bólem pleców, sztywnym karkiem albo drętwiejącym ramieniem? Przyczyną nie zawsze musi być przeciążenie w ciągu dnia. Znaczenie może mieć również pozycja, w której spędzasz noc, oraz sposób podparcia ciała. Badania wskazują na związek między ułożeniem ciała podczas snu, twardością materaca a komfortem wypoczynku i dolegliwościami kręgosłupa. Nie oznacza to jednak, że wszyscy powinniśmy spać na plecach albo wybierać twarde materace. Wiele zależy od budowy ciała, indywidualnych potrzeb i pozycji, w której najczęściej śpimy.</w:t>
      </w:r>
    </w:p>
    <w:p w14:paraId="45CA5446" w14:textId="7777777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W poszukiwaniu przyczyn porannego bólu pleców warto przyjrzeć się nie tylko codziennym aktywnościom, ale również temu, jak układamy ciało podczas snu. Każda pozycja wiąże się z innym rozkładem nacisku, dlatego znaczenie ma zarówno sposób ułożenia kręgosłupa, jak i dopasowanie podłoża.</w:t>
      </w:r>
    </w:p>
    <w:p w14:paraId="7E0FD3B3" w14:textId="77777777" w:rsidR="00537EB3" w:rsidRPr="00537EB3" w:rsidRDefault="00537EB3" w:rsidP="00537EB3">
      <w:pPr>
        <w:spacing w:before="100" w:beforeAutospacing="1" w:after="100" w:afterAutospacing="1"/>
        <w:jc w:val="both"/>
        <w:outlineLvl w:val="1"/>
        <w:rPr>
          <w:rFonts w:eastAsia="Times New Roman" w:cs="Times New Roman"/>
          <w:b/>
          <w:bCs/>
          <w:kern w:val="0"/>
          <w:lang w:eastAsia="pl-PL"/>
          <w14:ligatures w14:val="none"/>
        </w:rPr>
      </w:pPr>
      <w:r w:rsidRPr="00537EB3">
        <w:rPr>
          <w:rFonts w:eastAsia="Times New Roman" w:cs="Times New Roman"/>
          <w:b/>
          <w:bCs/>
          <w:kern w:val="0"/>
          <w:lang w:eastAsia="pl-PL"/>
          <w14:ligatures w14:val="none"/>
        </w:rPr>
        <w:t>Spanie na boku, plecach czy brzuchu. Która pozycja może nasilać ból pleców?</w:t>
      </w:r>
    </w:p>
    <w:p w14:paraId="403964CD" w14:textId="7777777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Nie istnieje jedna pozycja do spania odpowiednia dla wszystkich osób z bólem pleców. Znaczenie mają rodzaj dolegliwości, indywidualny komfort oraz sposób podparcia kręgosłupa. Spanie na boku, plecach i brzuchu wiąże się z innym rozkładem nacisku na poszczególne części ciała.</w:t>
      </w:r>
    </w:p>
    <w:p w14:paraId="74DCE02A" w14:textId="7777777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Spanie na boku pozwala wielu osobom wygodnie ułożyć ciało, ale wymaga odpowiedniego podparcia barków i bioder. Jeśli powierzchnia jest zbyt twarda, może powodować nadmierny ucisk w tych miejscach. Z kolei na zbyt miękkim podłożu miednica może zapadać się głębiej niż pozostałe części ciała, zmieniając ustawienie kręgosłupa.</w:t>
      </w:r>
    </w:p>
    <w:p w14:paraId="5890A756" w14:textId="30CA85C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Spanie na plecach umożliwia bardziej symetryczne ułożenie tułowia, pod warunkiem</w:t>
      </w:r>
      <w:r>
        <w:rPr>
          <w:rFonts w:eastAsia="Times New Roman" w:cs="Times New Roman"/>
          <w:kern w:val="0"/>
          <w:sz w:val="22"/>
          <w:szCs w:val="22"/>
          <w:lang w:eastAsia="pl-PL"/>
          <w14:ligatures w14:val="none"/>
        </w:rPr>
        <w:t>,</w:t>
      </w:r>
      <w:r w:rsidRPr="00537EB3">
        <w:rPr>
          <w:rFonts w:eastAsia="Times New Roman" w:cs="Times New Roman"/>
          <w:kern w:val="0"/>
          <w:sz w:val="22"/>
          <w:szCs w:val="22"/>
          <w:lang w:eastAsia="pl-PL"/>
          <w14:ligatures w14:val="none"/>
        </w:rPr>
        <w:t xml:space="preserve"> że podłoże zapewnia odpowiednie podparcie. Nie każdemu jednak ta pozycja odpowiada. U osób z obturacyjnym bezdechem sennym spanie na plecach może nasilać zaburzenia oddychania podczas snu.</w:t>
      </w:r>
    </w:p>
    <w:p w14:paraId="407086A7" w14:textId="7777777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Spanie na brzuchu może natomiast wiązać się z większym obciążeniem szyi i dolnej części pleców. Głowa jest wówczas zazwyczaj obrócona na bok, a odcinek lędźwiowy kręgosłupa może pozostawać w nadmiernym wyproście. U niektórych osób długotrwałe utrzymywanie takiej pozycji sprzyja porannej sztywności karku lub dyskomfortowi pleców.</w:t>
      </w:r>
    </w:p>
    <w:p w14:paraId="3550C2DC" w14:textId="77777777" w:rsidR="00F80612" w:rsidRPr="00F80612" w:rsidRDefault="00F80612" w:rsidP="00F80612">
      <w:pPr>
        <w:pStyle w:val="NormalnyWeb"/>
        <w:jc w:val="both"/>
        <w:rPr>
          <w:rFonts w:asciiTheme="minorHAnsi" w:hAnsiTheme="minorHAnsi"/>
          <w:sz w:val="22"/>
          <w:szCs w:val="22"/>
        </w:rPr>
      </w:pPr>
      <w:r w:rsidRPr="00F80612">
        <w:rPr>
          <w:rFonts w:asciiTheme="minorHAnsi" w:hAnsiTheme="minorHAnsi"/>
          <w:sz w:val="22"/>
          <w:szCs w:val="22"/>
        </w:rPr>
        <w:t>Z analizy sześciu badań, której wyniki opublikowano w 2025 roku na łamach czasopisma naukowego „</w:t>
      </w:r>
      <w:proofErr w:type="spellStart"/>
      <w:r w:rsidRPr="00F80612">
        <w:rPr>
          <w:rFonts w:asciiTheme="minorHAnsi" w:hAnsiTheme="minorHAnsi"/>
          <w:sz w:val="22"/>
          <w:szCs w:val="22"/>
        </w:rPr>
        <w:t>Musculoskeletal</w:t>
      </w:r>
      <w:proofErr w:type="spellEnd"/>
      <w:r w:rsidRPr="00F80612">
        <w:rPr>
          <w:rFonts w:asciiTheme="minorHAnsi" w:hAnsiTheme="minorHAnsi"/>
          <w:sz w:val="22"/>
          <w:szCs w:val="22"/>
        </w:rPr>
        <w:t xml:space="preserve"> </w:t>
      </w:r>
      <w:proofErr w:type="spellStart"/>
      <w:r w:rsidRPr="00F80612">
        <w:rPr>
          <w:rFonts w:asciiTheme="minorHAnsi" w:hAnsiTheme="minorHAnsi"/>
          <w:sz w:val="22"/>
          <w:szCs w:val="22"/>
        </w:rPr>
        <w:t>Care</w:t>
      </w:r>
      <w:proofErr w:type="spellEnd"/>
      <w:r w:rsidRPr="00F80612">
        <w:rPr>
          <w:rFonts w:asciiTheme="minorHAnsi" w:hAnsiTheme="minorHAnsi"/>
          <w:sz w:val="22"/>
          <w:szCs w:val="22"/>
        </w:rPr>
        <w:t>”, wynika, że pozycja podczas snu może mieć związek z dolegliwościami dolnego odcinka kręgosłupa. Dostępne dowody nie pozwalają jednak wskazać jednej uniwersalnej pozycji, która zapobiegałaby bólowi pleców u wszystkich osób.</w:t>
      </w:r>
    </w:p>
    <w:p w14:paraId="3BD189C1" w14:textId="7777777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 xml:space="preserve">– </w:t>
      </w:r>
      <w:r w:rsidRPr="00537EB3">
        <w:rPr>
          <w:rFonts w:eastAsia="Times New Roman" w:cs="Times New Roman"/>
          <w:i/>
          <w:iCs/>
          <w:kern w:val="0"/>
          <w:sz w:val="22"/>
          <w:szCs w:val="22"/>
          <w:lang w:eastAsia="pl-PL"/>
          <w14:ligatures w14:val="none"/>
        </w:rPr>
        <w:t>Nie warto na siłę zmieniać pozycji, w której wygodnie nam się śpi. Lepiej zwrócić uwagę na to, jak zachowuje się ciało po przebudzeniu. Powtarzający się ucisk barku, sztywność karku czy dyskomfort w dolnej części pleców mogą być sygnałem, że warto przyjrzeć się podparciu podczas snu. Przy spaniu na boku szczególnie ważne jest, aby barki i biodra mogły odpowiednio zagłębić się w materacu, bez nadmiernego zapadania się tułowia – wyjaśnia Dominik Dziedzic, ekspert ds. snu w FDM</w:t>
      </w:r>
      <w:r w:rsidRPr="00537EB3">
        <w:rPr>
          <w:rFonts w:eastAsia="Times New Roman" w:cs="Times New Roman"/>
          <w:kern w:val="0"/>
          <w:sz w:val="22"/>
          <w:szCs w:val="22"/>
          <w:lang w:eastAsia="pl-PL"/>
          <w14:ligatures w14:val="none"/>
        </w:rPr>
        <w:t xml:space="preserve"> – Fabryce Dobrych Materacy, członek World </w:t>
      </w:r>
      <w:proofErr w:type="spellStart"/>
      <w:r w:rsidRPr="00537EB3">
        <w:rPr>
          <w:rFonts w:eastAsia="Times New Roman" w:cs="Times New Roman"/>
          <w:kern w:val="0"/>
          <w:sz w:val="22"/>
          <w:szCs w:val="22"/>
          <w:lang w:eastAsia="pl-PL"/>
          <w14:ligatures w14:val="none"/>
        </w:rPr>
        <w:t>Sleep</w:t>
      </w:r>
      <w:proofErr w:type="spellEnd"/>
      <w:r w:rsidRPr="00537EB3">
        <w:rPr>
          <w:rFonts w:eastAsia="Times New Roman" w:cs="Times New Roman"/>
          <w:kern w:val="0"/>
          <w:sz w:val="22"/>
          <w:szCs w:val="22"/>
          <w:lang w:eastAsia="pl-PL"/>
          <w14:ligatures w14:val="none"/>
        </w:rPr>
        <w:t xml:space="preserve"> </w:t>
      </w:r>
      <w:proofErr w:type="spellStart"/>
      <w:r w:rsidRPr="00537EB3">
        <w:rPr>
          <w:rFonts w:eastAsia="Times New Roman" w:cs="Times New Roman"/>
          <w:kern w:val="0"/>
          <w:sz w:val="22"/>
          <w:szCs w:val="22"/>
          <w:lang w:eastAsia="pl-PL"/>
          <w14:ligatures w14:val="none"/>
        </w:rPr>
        <w:t>Society</w:t>
      </w:r>
      <w:proofErr w:type="spellEnd"/>
      <w:r w:rsidRPr="00537EB3">
        <w:rPr>
          <w:rFonts w:eastAsia="Times New Roman" w:cs="Times New Roman"/>
          <w:kern w:val="0"/>
          <w:sz w:val="22"/>
          <w:szCs w:val="22"/>
          <w:lang w:eastAsia="pl-PL"/>
          <w14:ligatures w14:val="none"/>
        </w:rPr>
        <w:t>, międzynarodowego stowarzyszenia zajmującego się zdrowiem i medycyną snu.</w:t>
      </w:r>
    </w:p>
    <w:p w14:paraId="709E7EBD" w14:textId="77777777" w:rsidR="00537EB3" w:rsidRPr="00537EB3" w:rsidRDefault="00537EB3" w:rsidP="00537EB3">
      <w:pPr>
        <w:spacing w:before="100" w:beforeAutospacing="1" w:after="100" w:afterAutospacing="1"/>
        <w:jc w:val="both"/>
        <w:outlineLvl w:val="1"/>
        <w:rPr>
          <w:rFonts w:eastAsia="Times New Roman" w:cs="Times New Roman"/>
          <w:b/>
          <w:bCs/>
          <w:kern w:val="0"/>
          <w:lang w:eastAsia="pl-PL"/>
          <w14:ligatures w14:val="none"/>
        </w:rPr>
      </w:pPr>
      <w:r w:rsidRPr="00537EB3">
        <w:rPr>
          <w:rFonts w:eastAsia="Times New Roman" w:cs="Times New Roman"/>
          <w:b/>
          <w:bCs/>
          <w:kern w:val="0"/>
          <w:lang w:eastAsia="pl-PL"/>
          <w14:ligatures w14:val="none"/>
        </w:rPr>
        <w:lastRenderedPageBreak/>
        <w:t>Czy twardy materac jest dobry na ból pleców?</w:t>
      </w:r>
    </w:p>
    <w:p w14:paraId="081C5E5A" w14:textId="5E42280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Przez lata utrwaliło się przekonanie, że osoby z bólem pleców powinny spać na możliwie twardym materacu. Tymczasem badania nie potwierdzają, że maksymalna twardość jest najlepszym rozwiązaniem dla każdego. Istotne jest połączenie stabilnego podparcia ciała z ograniczeniem nadmiernego nacisku na barki, biodra i inne wrażliwe miejsca.</w:t>
      </w:r>
      <w:r>
        <w:rPr>
          <w:rFonts w:eastAsia="Times New Roman" w:cs="Times New Roman"/>
          <w:kern w:val="0"/>
          <w:sz w:val="22"/>
          <w:szCs w:val="22"/>
          <w:lang w:eastAsia="pl-PL"/>
          <w14:ligatures w14:val="none"/>
        </w:rPr>
        <w:t xml:space="preserve"> </w:t>
      </w:r>
      <w:r w:rsidRPr="00537EB3">
        <w:rPr>
          <w:rFonts w:eastAsia="Times New Roman" w:cs="Times New Roman"/>
          <w:kern w:val="0"/>
          <w:sz w:val="22"/>
          <w:szCs w:val="22"/>
          <w:lang w:eastAsia="pl-PL"/>
          <w14:ligatures w14:val="none"/>
        </w:rPr>
        <w:t>W przeglądzie literatury opublikowanym w 2026 roku w „</w:t>
      </w:r>
      <w:proofErr w:type="spellStart"/>
      <w:r w:rsidRPr="00537EB3">
        <w:rPr>
          <w:rFonts w:eastAsia="Times New Roman" w:cs="Times New Roman"/>
          <w:kern w:val="0"/>
          <w:sz w:val="22"/>
          <w:szCs w:val="22"/>
          <w:lang w:eastAsia="pl-PL"/>
          <w14:ligatures w14:val="none"/>
        </w:rPr>
        <w:t>Journal</w:t>
      </w:r>
      <w:proofErr w:type="spellEnd"/>
      <w:r w:rsidRPr="00537EB3">
        <w:rPr>
          <w:rFonts w:eastAsia="Times New Roman" w:cs="Times New Roman"/>
          <w:kern w:val="0"/>
          <w:sz w:val="22"/>
          <w:szCs w:val="22"/>
          <w:lang w:eastAsia="pl-PL"/>
          <w14:ligatures w14:val="none"/>
        </w:rPr>
        <w:t xml:space="preserve"> of </w:t>
      </w:r>
      <w:proofErr w:type="spellStart"/>
      <w:r w:rsidRPr="00537EB3">
        <w:rPr>
          <w:rFonts w:eastAsia="Times New Roman" w:cs="Times New Roman"/>
          <w:kern w:val="0"/>
          <w:sz w:val="22"/>
          <w:szCs w:val="22"/>
          <w:lang w:eastAsia="pl-PL"/>
          <w14:ligatures w14:val="none"/>
        </w:rPr>
        <w:t>Orthopaedics</w:t>
      </w:r>
      <w:proofErr w:type="spellEnd"/>
      <w:r w:rsidRPr="00537EB3">
        <w:rPr>
          <w:rFonts w:eastAsia="Times New Roman" w:cs="Times New Roman"/>
          <w:kern w:val="0"/>
          <w:sz w:val="22"/>
          <w:szCs w:val="22"/>
          <w:lang w:eastAsia="pl-PL"/>
          <w14:ligatures w14:val="none"/>
        </w:rPr>
        <w:t xml:space="preserve"> and </w:t>
      </w:r>
      <w:proofErr w:type="spellStart"/>
      <w:r w:rsidRPr="00537EB3">
        <w:rPr>
          <w:rFonts w:eastAsia="Times New Roman" w:cs="Times New Roman"/>
          <w:kern w:val="0"/>
          <w:sz w:val="22"/>
          <w:szCs w:val="22"/>
          <w:lang w:eastAsia="pl-PL"/>
          <w14:ligatures w14:val="none"/>
        </w:rPr>
        <w:t>Traumatology</w:t>
      </w:r>
      <w:proofErr w:type="spellEnd"/>
      <w:r w:rsidRPr="00537EB3">
        <w:rPr>
          <w:rFonts w:eastAsia="Times New Roman" w:cs="Times New Roman"/>
          <w:kern w:val="0"/>
          <w:sz w:val="22"/>
          <w:szCs w:val="22"/>
          <w:lang w:eastAsia="pl-PL"/>
          <w14:ligatures w14:val="none"/>
        </w:rPr>
        <w:t>” przeanalizowano 47 badań dotyczących wpływu materacy na komfort snu i dolegliwości kręgosłupa. Autorzy wskazali, że dostępne dowody najczęściej przemawiają za materacami o średniej twardości. W części analizowanych badań takie podłoże wiązało się z mniejszym nasileniem bólu dolnego odcinka pleców i porannej sztywności. Nie oznacza to jednak, że średnia twardość będzie odpowiednia dla każdej osoby.</w:t>
      </w:r>
    </w:p>
    <w:p w14:paraId="2560BB8B" w14:textId="372DF4EA" w:rsidR="00F80612" w:rsidRPr="00F80612" w:rsidRDefault="00F80612" w:rsidP="00F80612">
      <w:pPr>
        <w:pStyle w:val="NormalnyWeb"/>
        <w:jc w:val="both"/>
        <w:rPr>
          <w:rFonts w:asciiTheme="minorHAnsi" w:hAnsiTheme="minorHAnsi"/>
          <w:sz w:val="22"/>
          <w:szCs w:val="22"/>
        </w:rPr>
      </w:pPr>
      <w:r w:rsidRPr="00F80612">
        <w:rPr>
          <w:rFonts w:asciiTheme="minorHAnsi" w:hAnsiTheme="minorHAnsi"/>
          <w:sz w:val="22"/>
          <w:szCs w:val="22"/>
        </w:rPr>
        <w:t xml:space="preserve">Twardość materaca może mieć znaczenie również dla wybranych parametrów snu. W niewielkim badaniu opublikowanym w 2025 roku w „Nature and Science of </w:t>
      </w:r>
      <w:proofErr w:type="spellStart"/>
      <w:r w:rsidRPr="00F80612">
        <w:rPr>
          <w:rFonts w:asciiTheme="minorHAnsi" w:hAnsiTheme="minorHAnsi"/>
          <w:sz w:val="22"/>
          <w:szCs w:val="22"/>
        </w:rPr>
        <w:t>Sleep</w:t>
      </w:r>
      <w:proofErr w:type="spellEnd"/>
      <w:r w:rsidRPr="00F80612">
        <w:rPr>
          <w:rFonts w:asciiTheme="minorHAnsi" w:hAnsiTheme="minorHAnsi"/>
          <w:sz w:val="22"/>
          <w:szCs w:val="22"/>
        </w:rPr>
        <w:t>” naukowcy porównali sen 12 osób na materacach o różnej twardości, wykorzystując polisomnografię, czyli metodę pozwalającą rejestrować m.in. poszczególne fazy snu. Zaobserwowano, że na materacu o średniej twardości uczestnicy zasypiali szybciej niż na miękkim. Wyniki te uzupełniają szersze analizy dotyczące komfortu snu, choć nie przesądzają, jaka twardość będzie najlepsza dla konkretnej osoby.</w:t>
      </w:r>
      <w:r w:rsidRPr="00F80612">
        <w:rPr>
          <w:rFonts w:asciiTheme="minorHAnsi" w:hAnsiTheme="minorHAnsi"/>
          <w:sz w:val="22"/>
          <w:szCs w:val="22"/>
        </w:rPr>
        <w:t xml:space="preserve"> </w:t>
      </w:r>
      <w:r w:rsidRPr="00F80612">
        <w:rPr>
          <w:rFonts w:asciiTheme="minorHAnsi" w:hAnsiTheme="minorHAnsi"/>
          <w:sz w:val="22"/>
          <w:szCs w:val="22"/>
        </w:rPr>
        <w:t>W praktyce liczy się nie tylko twardość materaca, ale również to, jak rozkłada się nacisk ciała na jego powierzchnię. Zbyt duży ucisk może powodować dyskomfort, natomiast nadmierne zapadanie się tułowia może utrudniać utrzymanie wygodnego ułożenia kręgosłupa.</w:t>
      </w:r>
    </w:p>
    <w:p w14:paraId="5E357F59" w14:textId="7777777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 xml:space="preserve">– </w:t>
      </w:r>
      <w:r w:rsidRPr="00537EB3">
        <w:rPr>
          <w:rFonts w:eastAsia="Times New Roman" w:cs="Times New Roman"/>
          <w:i/>
          <w:iCs/>
          <w:kern w:val="0"/>
          <w:sz w:val="22"/>
          <w:szCs w:val="22"/>
          <w:lang w:eastAsia="pl-PL"/>
          <w14:ligatures w14:val="none"/>
        </w:rPr>
        <w:t xml:space="preserve">Często pojawia się pytanie, jaki materac wybrać na ból pleców. Nie ma jednak jednej odpowiedzi odpowiedniej dla wszystkich. Bardzo twardy materac nie musi zapewniać lepszego podparcia, podobnie jak miękki nie zawsze oznacza większy komfort. Ważne jest to, jak konkretna powierzchnia reaguje na ciężar ciała i czy pozwala wygodnie ułożyć kręgosłup. Dlatego przy wyborze warto porównać kilka rozwiązań, zamiast kierować się wyłącznie oznaczeniem twardości </w:t>
      </w:r>
      <w:r w:rsidRPr="00537EB3">
        <w:rPr>
          <w:rFonts w:eastAsia="Times New Roman" w:cs="Times New Roman"/>
          <w:kern w:val="0"/>
          <w:sz w:val="22"/>
          <w:szCs w:val="22"/>
          <w:lang w:eastAsia="pl-PL"/>
          <w14:ligatures w14:val="none"/>
        </w:rPr>
        <w:t>– mówi Dominik Dziedzic.</w:t>
      </w:r>
    </w:p>
    <w:p w14:paraId="45635844" w14:textId="77777777" w:rsidR="00537EB3" w:rsidRPr="00537EB3" w:rsidRDefault="00537EB3" w:rsidP="00537EB3">
      <w:pPr>
        <w:spacing w:before="100" w:beforeAutospacing="1" w:after="100" w:afterAutospacing="1"/>
        <w:jc w:val="both"/>
        <w:outlineLvl w:val="1"/>
        <w:rPr>
          <w:rFonts w:eastAsia="Times New Roman" w:cs="Times New Roman"/>
          <w:b/>
          <w:bCs/>
          <w:kern w:val="0"/>
          <w:lang w:eastAsia="pl-PL"/>
          <w14:ligatures w14:val="none"/>
        </w:rPr>
      </w:pPr>
      <w:r w:rsidRPr="00537EB3">
        <w:rPr>
          <w:rFonts w:eastAsia="Times New Roman" w:cs="Times New Roman"/>
          <w:b/>
          <w:bCs/>
          <w:kern w:val="0"/>
          <w:lang w:eastAsia="pl-PL"/>
          <w14:ligatures w14:val="none"/>
        </w:rPr>
        <w:t>Materac H2 czy H3? Jak dobrać twardość do pozycji snu?</w:t>
      </w:r>
    </w:p>
    <w:p w14:paraId="59C076FC" w14:textId="3674185B"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Przy zakupie materaca często spotykamy oznaczenia H1, H2, H3, H4 i H5, które określają kolejne poziomy twardości – od bardziej miękkich do bardzo twardych. Nie jest to jednak jednolita skala obowiązująca wszystkich producentów, dlatego dwa materace oznaczone jako H3 mogą różnić się odczuwalną twardością. Nie należy też zakładać, że H3 będzie najlepszym wyborem dla każdego dorosłego.</w:t>
      </w:r>
      <w:r>
        <w:rPr>
          <w:rFonts w:eastAsia="Times New Roman" w:cs="Times New Roman"/>
          <w:kern w:val="0"/>
          <w:sz w:val="22"/>
          <w:szCs w:val="22"/>
          <w:lang w:eastAsia="pl-PL"/>
          <w14:ligatures w14:val="none"/>
        </w:rPr>
        <w:t xml:space="preserve"> </w:t>
      </w:r>
      <w:r w:rsidRPr="00537EB3">
        <w:rPr>
          <w:rFonts w:eastAsia="Times New Roman" w:cs="Times New Roman"/>
          <w:kern w:val="0"/>
          <w:sz w:val="22"/>
          <w:szCs w:val="22"/>
          <w:lang w:eastAsia="pl-PL"/>
          <w14:ligatures w14:val="none"/>
        </w:rPr>
        <w:t>Czy lepszy będzie materac H2 czy H3? Odpowiedź zależy nie tylko od masy ciała, ale również od budowy sylwetki, preferowanej pozycji snu i konstrukcji materaca. Osoba o szerszych barkach, która śpi na boku, może potrzebować innego rozkładu nacisku niż osoba o podobnej masie ciała, ale innych proporcjach sylwetki.</w:t>
      </w:r>
    </w:p>
    <w:p w14:paraId="1B1B1EB7" w14:textId="6E2D7C8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 xml:space="preserve">Jaki materac </w:t>
      </w:r>
      <w:r>
        <w:rPr>
          <w:rFonts w:eastAsia="Times New Roman" w:cs="Times New Roman"/>
          <w:kern w:val="0"/>
          <w:sz w:val="22"/>
          <w:szCs w:val="22"/>
          <w:lang w:eastAsia="pl-PL"/>
          <w14:ligatures w14:val="none"/>
        </w:rPr>
        <w:t xml:space="preserve">będzie odpowiedni </w:t>
      </w:r>
      <w:r w:rsidRPr="00537EB3">
        <w:rPr>
          <w:rFonts w:eastAsia="Times New Roman" w:cs="Times New Roman"/>
          <w:kern w:val="0"/>
          <w:sz w:val="22"/>
          <w:szCs w:val="22"/>
          <w:lang w:eastAsia="pl-PL"/>
          <w14:ligatures w14:val="none"/>
        </w:rPr>
        <w:t>dla</w:t>
      </w:r>
      <w:r>
        <w:rPr>
          <w:rFonts w:eastAsia="Times New Roman" w:cs="Times New Roman"/>
          <w:kern w:val="0"/>
          <w:sz w:val="22"/>
          <w:szCs w:val="22"/>
          <w:lang w:eastAsia="pl-PL"/>
          <w14:ligatures w14:val="none"/>
        </w:rPr>
        <w:t xml:space="preserve"> </w:t>
      </w:r>
      <w:r w:rsidRPr="00537EB3">
        <w:rPr>
          <w:rFonts w:eastAsia="Times New Roman" w:cs="Times New Roman"/>
          <w:kern w:val="0"/>
          <w:sz w:val="22"/>
          <w:szCs w:val="22"/>
          <w:lang w:eastAsia="pl-PL"/>
          <w14:ligatures w14:val="none"/>
        </w:rPr>
        <w:t>osoby śpiącej na boku? Przede wszystkim taki, który zapewnia równowagę między elastycznością a stabilnym podparciem. Osoby śpiące na plecach powinny natomiast zwrócić uwagę na to, czy miednica nie zapada się nadmiernie, a dolna część pleców pozostaje komfortowo podparta. W obu przypadkach ważniejszy od samego oznaczenia H2 czy H3 jest sposób, w jaki materac reaguje na ciężar ciała.</w:t>
      </w:r>
      <w:r>
        <w:rPr>
          <w:rFonts w:eastAsia="Times New Roman" w:cs="Times New Roman"/>
          <w:kern w:val="0"/>
          <w:sz w:val="22"/>
          <w:szCs w:val="22"/>
          <w:lang w:eastAsia="pl-PL"/>
          <w14:ligatures w14:val="none"/>
        </w:rPr>
        <w:t xml:space="preserve"> </w:t>
      </w:r>
      <w:r w:rsidRPr="00537EB3">
        <w:rPr>
          <w:rFonts w:eastAsia="Times New Roman" w:cs="Times New Roman"/>
          <w:kern w:val="0"/>
          <w:sz w:val="22"/>
          <w:szCs w:val="22"/>
          <w:lang w:eastAsia="pl-PL"/>
          <w14:ligatures w14:val="none"/>
        </w:rPr>
        <w:t>Sygnałem, że warto ponownie ocenić dopasowanie materaca, może być regularny ucisk w okolicy barków, trudność ze znalezieniem wygodnej pozycji lub poranny dyskomfort pleców. Nie oznacza to jednak automatycznie, że materac jest przyczyną dolegliwości. Przed zakupem warto porównać kilka modeli o różnej konstrukcji i twardości, testując je przez kilka minut w pozycji, w której najczęściej śpimy.</w:t>
      </w:r>
    </w:p>
    <w:p w14:paraId="7A760A60" w14:textId="77777777" w:rsidR="00537EB3" w:rsidRPr="00537EB3" w:rsidRDefault="00537EB3" w:rsidP="00537EB3">
      <w:pPr>
        <w:spacing w:before="100" w:beforeAutospacing="1" w:after="100" w:afterAutospacing="1"/>
        <w:jc w:val="both"/>
        <w:outlineLvl w:val="1"/>
        <w:rPr>
          <w:rFonts w:eastAsia="Times New Roman" w:cs="Times New Roman"/>
          <w:b/>
          <w:bCs/>
          <w:kern w:val="0"/>
          <w:lang w:eastAsia="pl-PL"/>
          <w14:ligatures w14:val="none"/>
        </w:rPr>
      </w:pPr>
      <w:r w:rsidRPr="00537EB3">
        <w:rPr>
          <w:rFonts w:eastAsia="Times New Roman" w:cs="Times New Roman"/>
          <w:b/>
          <w:bCs/>
          <w:kern w:val="0"/>
          <w:lang w:eastAsia="pl-PL"/>
          <w14:ligatures w14:val="none"/>
        </w:rPr>
        <w:lastRenderedPageBreak/>
        <w:t>Jaka poduszka do spania na boku zapewnia odpowiednie podparcie?</w:t>
      </w:r>
    </w:p>
    <w:p w14:paraId="16AB1D39" w14:textId="70502C8D"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Nawet dobrze dopasowany materac nie zapewni pełnego komfortu, jeśli poduszka wymusza niewygodne ułożenie szyi. Jej wysokość i kształt powinny być dostosowane zarówno do pozycji snu, jak i budowy ciała oraz właściwości materaca.</w:t>
      </w:r>
      <w:r>
        <w:rPr>
          <w:rFonts w:eastAsia="Times New Roman" w:cs="Times New Roman"/>
          <w:kern w:val="0"/>
          <w:sz w:val="22"/>
          <w:szCs w:val="22"/>
          <w:lang w:eastAsia="pl-PL"/>
          <w14:ligatures w14:val="none"/>
        </w:rPr>
        <w:t xml:space="preserve"> </w:t>
      </w:r>
      <w:r w:rsidRPr="00537EB3">
        <w:rPr>
          <w:rFonts w:eastAsia="Times New Roman" w:cs="Times New Roman"/>
          <w:kern w:val="0"/>
          <w:sz w:val="22"/>
          <w:szCs w:val="22"/>
          <w:lang w:eastAsia="pl-PL"/>
          <w14:ligatures w14:val="none"/>
        </w:rPr>
        <w:t>Przy spaniu na boku poduszka powinna wypełniać przestrzeń między głową a powierzchnią materaca, uwzględniając szerokość barków i stopień zagłębienia ciała w podłożu. Zbyt niska może powodować opadanie głowy w kierunku materaca, a zbyt wysoka – nadmierne przechylenie szyi w przeciwną stronę.</w:t>
      </w:r>
      <w:r>
        <w:rPr>
          <w:rFonts w:eastAsia="Times New Roman" w:cs="Times New Roman"/>
          <w:kern w:val="0"/>
          <w:sz w:val="22"/>
          <w:szCs w:val="22"/>
          <w:lang w:eastAsia="pl-PL"/>
          <w14:ligatures w14:val="none"/>
        </w:rPr>
        <w:t xml:space="preserve"> </w:t>
      </w:r>
      <w:r w:rsidRPr="00537EB3">
        <w:rPr>
          <w:rFonts w:eastAsia="Times New Roman" w:cs="Times New Roman"/>
          <w:kern w:val="0"/>
          <w:sz w:val="22"/>
          <w:szCs w:val="22"/>
          <w:lang w:eastAsia="pl-PL"/>
          <w14:ligatures w14:val="none"/>
        </w:rPr>
        <w:t>Osoby śpiące na plecach zwykle potrzebują innego podparcia, które pozwala utrzymać szyję w wygodnym położeniu bez nadmiernego unoszenia głowy. Przy spaniu na brzuchu wysoka poduszka może dodatkowo zwiększać niewygodne ustawienie szyi.</w:t>
      </w:r>
    </w:p>
    <w:p w14:paraId="3D8CCB61" w14:textId="7777777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 xml:space="preserve">– </w:t>
      </w:r>
      <w:r w:rsidRPr="00537EB3">
        <w:rPr>
          <w:rFonts w:eastAsia="Times New Roman" w:cs="Times New Roman"/>
          <w:i/>
          <w:iCs/>
          <w:kern w:val="0"/>
          <w:sz w:val="22"/>
          <w:szCs w:val="22"/>
          <w:lang w:eastAsia="pl-PL"/>
          <w14:ligatures w14:val="none"/>
        </w:rPr>
        <w:t>Materac i poduszka powinny ze sobą współpracować. Jeśli zmieniamy materac na bardziej miękki, bark może zagłębiać się w nim mocniej, a wtedy dotychczasowa wysokość poduszki niekoniecznie będzie już odpowiednia. Dlatego najlepiej sprawdzać te elementy razem. Podczas testowania warto poleżeć przez kilka minut w swojej naturalnej pozycji, zwrócić uwagę na ucisk w barkach i biodrach oraz ocenić, czy głowa i szyja pozostają wygodnie podparte</w:t>
      </w:r>
      <w:r w:rsidRPr="00537EB3">
        <w:rPr>
          <w:rFonts w:eastAsia="Times New Roman" w:cs="Times New Roman"/>
          <w:kern w:val="0"/>
          <w:sz w:val="22"/>
          <w:szCs w:val="22"/>
          <w:lang w:eastAsia="pl-PL"/>
          <w14:ligatures w14:val="none"/>
        </w:rPr>
        <w:t xml:space="preserve"> – podkreśla Dominik Dziedzic, ekspert FDM – Fabryki Dobrych Materacy.</w:t>
      </w:r>
    </w:p>
    <w:p w14:paraId="5D632081" w14:textId="77777777" w:rsidR="00537EB3" w:rsidRPr="00537EB3" w:rsidRDefault="00537EB3" w:rsidP="00537EB3">
      <w:pPr>
        <w:spacing w:before="100" w:beforeAutospacing="1" w:after="100" w:afterAutospacing="1"/>
        <w:jc w:val="both"/>
        <w:outlineLvl w:val="1"/>
        <w:rPr>
          <w:rFonts w:eastAsia="Times New Roman" w:cs="Times New Roman"/>
          <w:b/>
          <w:bCs/>
          <w:kern w:val="0"/>
          <w:lang w:eastAsia="pl-PL"/>
          <w14:ligatures w14:val="none"/>
        </w:rPr>
      </w:pPr>
      <w:r w:rsidRPr="00537EB3">
        <w:rPr>
          <w:rFonts w:eastAsia="Times New Roman" w:cs="Times New Roman"/>
          <w:b/>
          <w:bCs/>
          <w:kern w:val="0"/>
          <w:lang w:eastAsia="pl-PL"/>
          <w14:ligatures w14:val="none"/>
        </w:rPr>
        <w:t>Kiedy poranny ból pleców powinien skłonić do konsultacji?</w:t>
      </w:r>
    </w:p>
    <w:p w14:paraId="1DF862E0" w14:textId="36D29EA5"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Nie każdy poranny ból pleców wynika z niewłaściwej pozycji snu, źle dobranej poduszki czy materaca. Przyczyną mogą być również przeciążenia, brak aktywności fizycznej lub schorzenia wymagające diagnostyki.</w:t>
      </w:r>
      <w:r>
        <w:rPr>
          <w:rFonts w:eastAsia="Times New Roman" w:cs="Times New Roman"/>
          <w:kern w:val="0"/>
          <w:sz w:val="22"/>
          <w:szCs w:val="22"/>
          <w:lang w:eastAsia="pl-PL"/>
          <w14:ligatures w14:val="none"/>
        </w:rPr>
        <w:t xml:space="preserve"> </w:t>
      </w:r>
      <w:r w:rsidRPr="00537EB3">
        <w:rPr>
          <w:rFonts w:eastAsia="Times New Roman" w:cs="Times New Roman"/>
          <w:kern w:val="0"/>
          <w:sz w:val="22"/>
          <w:szCs w:val="22"/>
          <w:lang w:eastAsia="pl-PL"/>
          <w14:ligatures w14:val="none"/>
        </w:rPr>
        <w:t>Jeśli dolegliwości utrzymują się, nasilają, regularnie powracają albo towarzyszą im drętwienie, osłabienie lub promieniowanie bólu do kończyn, warto skonsultować się z lekarzem. Nagłe zaburzenia kontroli pęcherza lub jelit, szczególnie w połączeniu z osłabieniem nóg albo zaburzeniami czucia w okolicy krocza, wymagają pilnej oceny medycznej.</w:t>
      </w:r>
    </w:p>
    <w:p w14:paraId="5CF5F1BB" w14:textId="77777777" w:rsid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r w:rsidRPr="00537EB3">
        <w:rPr>
          <w:rFonts w:eastAsia="Times New Roman" w:cs="Times New Roman"/>
          <w:kern w:val="0"/>
          <w:sz w:val="22"/>
          <w:szCs w:val="22"/>
          <w:lang w:eastAsia="pl-PL"/>
          <w14:ligatures w14:val="none"/>
        </w:rPr>
        <w:t>Poranny ból pleców nie zawsze oznacza konieczność wymiany materaca czy zmiany pozycji snu. Warto jednak obserwować, czy dolegliwości pojawiają się po nocy, w jakiej pozycji najczęściej śpimy i czy podłoże pozwala wygodnie ułożyć ciało. Takie obserwacje mogą pomóc ocenić warunki odpoczynku, choć utrzymujący się lub nasilający ból wymaga przede wszystkim ustalenia jego przyczyny.</w:t>
      </w:r>
    </w:p>
    <w:p w14:paraId="1FAC51CA" w14:textId="77777777" w:rsidR="00537EB3" w:rsidRPr="00537EB3" w:rsidRDefault="00537EB3" w:rsidP="00537EB3">
      <w:pPr>
        <w:spacing w:before="100" w:beforeAutospacing="1" w:after="100" w:afterAutospacing="1"/>
        <w:jc w:val="both"/>
        <w:rPr>
          <w:rFonts w:eastAsia="Times New Roman" w:cs="Times New Roman"/>
          <w:kern w:val="0"/>
          <w:sz w:val="22"/>
          <w:szCs w:val="22"/>
          <w:lang w:eastAsia="pl-PL"/>
          <w14:ligatures w14:val="none"/>
        </w:rPr>
      </w:pPr>
    </w:p>
    <w:p w14:paraId="62478246" w14:textId="491CEB78" w:rsidR="00537EB3" w:rsidRPr="00537EB3" w:rsidRDefault="00537EB3" w:rsidP="00537EB3">
      <w:pPr>
        <w:spacing w:before="100" w:beforeAutospacing="1" w:after="100" w:afterAutospacing="1"/>
        <w:jc w:val="both"/>
        <w:rPr>
          <w:rFonts w:eastAsia="Times New Roman" w:cs="Times New Roman"/>
          <w:kern w:val="0"/>
          <w:sz w:val="20"/>
          <w:szCs w:val="20"/>
          <w:lang w:eastAsia="pl-PL"/>
          <w14:ligatures w14:val="none"/>
        </w:rPr>
      </w:pPr>
      <w:r w:rsidRPr="00537EB3">
        <w:rPr>
          <w:rFonts w:eastAsia="Times New Roman" w:cs="Times New Roman"/>
          <w:b/>
          <w:bCs/>
          <w:kern w:val="0"/>
          <w:sz w:val="20"/>
          <w:szCs w:val="20"/>
          <w:lang w:eastAsia="pl-PL"/>
          <w14:ligatures w14:val="none"/>
        </w:rPr>
        <w:t>Źródła:</w:t>
      </w:r>
    </w:p>
    <w:p w14:paraId="6C5DB47C" w14:textId="77777777" w:rsidR="00537EB3" w:rsidRPr="00537EB3" w:rsidRDefault="00537EB3" w:rsidP="00537EB3">
      <w:pPr>
        <w:numPr>
          <w:ilvl w:val="0"/>
          <w:numId w:val="2"/>
        </w:numPr>
        <w:spacing w:before="100" w:beforeAutospacing="1" w:after="100" w:afterAutospacing="1"/>
        <w:rPr>
          <w:rFonts w:eastAsia="Times New Roman" w:cs="Times New Roman"/>
          <w:kern w:val="0"/>
          <w:sz w:val="16"/>
          <w:szCs w:val="16"/>
          <w:lang w:eastAsia="pl-PL"/>
          <w14:ligatures w14:val="none"/>
        </w:rPr>
      </w:pPr>
      <w:proofErr w:type="spellStart"/>
      <w:r w:rsidRPr="00537EB3">
        <w:rPr>
          <w:rFonts w:eastAsia="Times New Roman" w:cs="Times New Roman"/>
          <w:kern w:val="0"/>
          <w:sz w:val="16"/>
          <w:szCs w:val="16"/>
          <w:lang w:eastAsia="pl-PL"/>
          <w14:ligatures w14:val="none"/>
        </w:rPr>
        <w:t>Caggiari</w:t>
      </w:r>
      <w:proofErr w:type="spellEnd"/>
      <w:r w:rsidRPr="00537EB3">
        <w:rPr>
          <w:rFonts w:eastAsia="Times New Roman" w:cs="Times New Roman"/>
          <w:kern w:val="0"/>
          <w:sz w:val="16"/>
          <w:szCs w:val="16"/>
          <w:lang w:eastAsia="pl-PL"/>
          <w14:ligatures w14:val="none"/>
        </w:rPr>
        <w:t xml:space="preserve"> G. i in. (2026), </w:t>
      </w:r>
      <w:proofErr w:type="spellStart"/>
      <w:r w:rsidRPr="00537EB3">
        <w:rPr>
          <w:rFonts w:eastAsia="Times New Roman" w:cs="Times New Roman"/>
          <w:i/>
          <w:iCs/>
          <w:kern w:val="0"/>
          <w:sz w:val="16"/>
          <w:szCs w:val="16"/>
          <w:lang w:eastAsia="pl-PL"/>
          <w14:ligatures w14:val="none"/>
        </w:rPr>
        <w:t>Mattress</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impact</w:t>
      </w:r>
      <w:proofErr w:type="spellEnd"/>
      <w:r w:rsidRPr="00537EB3">
        <w:rPr>
          <w:rFonts w:eastAsia="Times New Roman" w:cs="Times New Roman"/>
          <w:i/>
          <w:iCs/>
          <w:kern w:val="0"/>
          <w:sz w:val="16"/>
          <w:szCs w:val="16"/>
          <w:lang w:eastAsia="pl-PL"/>
          <w14:ligatures w14:val="none"/>
        </w:rPr>
        <w:t xml:space="preserve"> on </w:t>
      </w:r>
      <w:proofErr w:type="spellStart"/>
      <w:r w:rsidRPr="00537EB3">
        <w:rPr>
          <w:rFonts w:eastAsia="Times New Roman" w:cs="Times New Roman"/>
          <w:i/>
          <w:iCs/>
          <w:kern w:val="0"/>
          <w:sz w:val="16"/>
          <w:szCs w:val="16"/>
          <w:lang w:eastAsia="pl-PL"/>
          <w14:ligatures w14:val="none"/>
        </w:rPr>
        <w:t>lifestyle</w:t>
      </w:r>
      <w:proofErr w:type="spellEnd"/>
      <w:r w:rsidRPr="00537EB3">
        <w:rPr>
          <w:rFonts w:eastAsia="Times New Roman" w:cs="Times New Roman"/>
          <w:i/>
          <w:iCs/>
          <w:kern w:val="0"/>
          <w:sz w:val="16"/>
          <w:szCs w:val="16"/>
          <w:lang w:eastAsia="pl-PL"/>
          <w14:ligatures w14:val="none"/>
        </w:rPr>
        <w:t xml:space="preserve"> and </w:t>
      </w:r>
      <w:proofErr w:type="spellStart"/>
      <w:r w:rsidRPr="00537EB3">
        <w:rPr>
          <w:rFonts w:eastAsia="Times New Roman" w:cs="Times New Roman"/>
          <w:i/>
          <w:iCs/>
          <w:kern w:val="0"/>
          <w:sz w:val="16"/>
          <w:szCs w:val="16"/>
          <w:lang w:eastAsia="pl-PL"/>
          <w14:ligatures w14:val="none"/>
        </w:rPr>
        <w:t>back</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pain</w:t>
      </w:r>
      <w:proofErr w:type="spellEnd"/>
      <w:r w:rsidRPr="00537EB3">
        <w:rPr>
          <w:rFonts w:eastAsia="Times New Roman" w:cs="Times New Roman"/>
          <w:i/>
          <w:iCs/>
          <w:kern w:val="0"/>
          <w:sz w:val="16"/>
          <w:szCs w:val="16"/>
          <w:lang w:eastAsia="pl-PL"/>
          <w14:ligatures w14:val="none"/>
        </w:rPr>
        <w:t xml:space="preserve">: a 25-year </w:t>
      </w:r>
      <w:proofErr w:type="spellStart"/>
      <w:r w:rsidRPr="00537EB3">
        <w:rPr>
          <w:rFonts w:eastAsia="Times New Roman" w:cs="Times New Roman"/>
          <w:i/>
          <w:iCs/>
          <w:kern w:val="0"/>
          <w:sz w:val="16"/>
          <w:szCs w:val="16"/>
          <w:lang w:eastAsia="pl-PL"/>
          <w14:ligatures w14:val="none"/>
        </w:rPr>
        <w:t>orthopedic</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literature</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review</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guideline</w:t>
      </w:r>
      <w:proofErr w:type="spellEnd"/>
      <w:r w:rsidRPr="00537EB3">
        <w:rPr>
          <w:rFonts w:eastAsia="Times New Roman" w:cs="Times New Roman"/>
          <w:kern w:val="0"/>
          <w:sz w:val="16"/>
          <w:szCs w:val="16"/>
          <w:lang w:eastAsia="pl-PL"/>
          <w14:ligatures w14:val="none"/>
        </w:rPr>
        <w:t>, „</w:t>
      </w:r>
      <w:proofErr w:type="spellStart"/>
      <w:r w:rsidRPr="00537EB3">
        <w:rPr>
          <w:rFonts w:eastAsia="Times New Roman" w:cs="Times New Roman"/>
          <w:kern w:val="0"/>
          <w:sz w:val="16"/>
          <w:szCs w:val="16"/>
          <w:lang w:eastAsia="pl-PL"/>
          <w14:ligatures w14:val="none"/>
        </w:rPr>
        <w:t>Journal</w:t>
      </w:r>
      <w:proofErr w:type="spellEnd"/>
      <w:r w:rsidRPr="00537EB3">
        <w:rPr>
          <w:rFonts w:eastAsia="Times New Roman" w:cs="Times New Roman"/>
          <w:kern w:val="0"/>
          <w:sz w:val="16"/>
          <w:szCs w:val="16"/>
          <w:lang w:eastAsia="pl-PL"/>
          <w14:ligatures w14:val="none"/>
        </w:rPr>
        <w:t xml:space="preserve"> of </w:t>
      </w:r>
      <w:proofErr w:type="spellStart"/>
      <w:r w:rsidRPr="00537EB3">
        <w:rPr>
          <w:rFonts w:eastAsia="Times New Roman" w:cs="Times New Roman"/>
          <w:kern w:val="0"/>
          <w:sz w:val="16"/>
          <w:szCs w:val="16"/>
          <w:lang w:eastAsia="pl-PL"/>
          <w14:ligatures w14:val="none"/>
        </w:rPr>
        <w:t>Orthopaedics</w:t>
      </w:r>
      <w:proofErr w:type="spellEnd"/>
      <w:r w:rsidRPr="00537EB3">
        <w:rPr>
          <w:rFonts w:eastAsia="Times New Roman" w:cs="Times New Roman"/>
          <w:kern w:val="0"/>
          <w:sz w:val="16"/>
          <w:szCs w:val="16"/>
          <w:lang w:eastAsia="pl-PL"/>
          <w14:ligatures w14:val="none"/>
        </w:rPr>
        <w:t xml:space="preserve"> and </w:t>
      </w:r>
      <w:proofErr w:type="spellStart"/>
      <w:r w:rsidRPr="00537EB3">
        <w:rPr>
          <w:rFonts w:eastAsia="Times New Roman" w:cs="Times New Roman"/>
          <w:kern w:val="0"/>
          <w:sz w:val="16"/>
          <w:szCs w:val="16"/>
          <w:lang w:eastAsia="pl-PL"/>
          <w14:ligatures w14:val="none"/>
        </w:rPr>
        <w:t>Traumatology</w:t>
      </w:r>
      <w:proofErr w:type="spellEnd"/>
      <w:r w:rsidRPr="00537EB3">
        <w:rPr>
          <w:rFonts w:eastAsia="Times New Roman" w:cs="Times New Roman"/>
          <w:kern w:val="0"/>
          <w:sz w:val="16"/>
          <w:szCs w:val="16"/>
          <w:lang w:eastAsia="pl-PL"/>
          <w14:ligatures w14:val="none"/>
        </w:rPr>
        <w:t xml:space="preserve">”, DOI: 10.1186/s10195-026-00945-3. </w:t>
      </w:r>
      <w:hyperlink r:id="rId5" w:history="1">
        <w:r w:rsidRPr="00537EB3">
          <w:rPr>
            <w:rFonts w:eastAsia="Times New Roman" w:cs="Times New Roman"/>
            <w:color w:val="0000FF"/>
            <w:kern w:val="0"/>
            <w:sz w:val="16"/>
            <w:szCs w:val="16"/>
            <w:u w:val="single"/>
            <w:lang w:eastAsia="pl-PL"/>
            <w14:ligatures w14:val="none"/>
          </w:rPr>
          <w:t>https://link.springer.com/article/10.1186/s10195-026-00945-3</w:t>
        </w:r>
      </w:hyperlink>
    </w:p>
    <w:p w14:paraId="61E1D8F4" w14:textId="77777777" w:rsidR="00537EB3" w:rsidRPr="00537EB3" w:rsidRDefault="00537EB3" w:rsidP="00537EB3">
      <w:pPr>
        <w:numPr>
          <w:ilvl w:val="0"/>
          <w:numId w:val="2"/>
        </w:numPr>
        <w:spacing w:before="100" w:beforeAutospacing="1" w:after="100" w:afterAutospacing="1"/>
        <w:rPr>
          <w:rFonts w:eastAsia="Times New Roman" w:cs="Times New Roman"/>
          <w:kern w:val="0"/>
          <w:sz w:val="16"/>
          <w:szCs w:val="16"/>
          <w:lang w:eastAsia="pl-PL"/>
          <w14:ligatures w14:val="none"/>
        </w:rPr>
      </w:pPr>
      <w:proofErr w:type="spellStart"/>
      <w:r w:rsidRPr="00537EB3">
        <w:rPr>
          <w:rFonts w:eastAsia="Times New Roman" w:cs="Times New Roman"/>
          <w:kern w:val="0"/>
          <w:sz w:val="16"/>
          <w:szCs w:val="16"/>
          <w:lang w:eastAsia="pl-PL"/>
          <w14:ligatures w14:val="none"/>
        </w:rPr>
        <w:t>Saini</w:t>
      </w:r>
      <w:proofErr w:type="spellEnd"/>
      <w:r w:rsidRPr="00537EB3">
        <w:rPr>
          <w:rFonts w:eastAsia="Times New Roman" w:cs="Times New Roman"/>
          <w:kern w:val="0"/>
          <w:sz w:val="16"/>
          <w:szCs w:val="16"/>
          <w:lang w:eastAsia="pl-PL"/>
          <w14:ligatures w14:val="none"/>
        </w:rPr>
        <w:t xml:space="preserve"> Y., Rai A., Sen S. (2025), </w:t>
      </w:r>
      <w:proofErr w:type="spellStart"/>
      <w:r w:rsidRPr="00537EB3">
        <w:rPr>
          <w:rFonts w:eastAsia="Times New Roman" w:cs="Times New Roman"/>
          <w:i/>
          <w:iCs/>
          <w:kern w:val="0"/>
          <w:sz w:val="16"/>
          <w:szCs w:val="16"/>
          <w:lang w:eastAsia="pl-PL"/>
          <w14:ligatures w14:val="none"/>
        </w:rPr>
        <w:t>Relationship</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Between</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Sleep</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Posture</w:t>
      </w:r>
      <w:proofErr w:type="spellEnd"/>
      <w:r w:rsidRPr="00537EB3">
        <w:rPr>
          <w:rFonts w:eastAsia="Times New Roman" w:cs="Times New Roman"/>
          <w:i/>
          <w:iCs/>
          <w:kern w:val="0"/>
          <w:sz w:val="16"/>
          <w:szCs w:val="16"/>
          <w:lang w:eastAsia="pl-PL"/>
          <w14:ligatures w14:val="none"/>
        </w:rPr>
        <w:t xml:space="preserve"> and </w:t>
      </w:r>
      <w:proofErr w:type="spellStart"/>
      <w:r w:rsidRPr="00537EB3">
        <w:rPr>
          <w:rFonts w:eastAsia="Times New Roman" w:cs="Times New Roman"/>
          <w:i/>
          <w:iCs/>
          <w:kern w:val="0"/>
          <w:sz w:val="16"/>
          <w:szCs w:val="16"/>
          <w:lang w:eastAsia="pl-PL"/>
          <w14:ligatures w14:val="none"/>
        </w:rPr>
        <w:t>Low</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Back</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Pain</w:t>
      </w:r>
      <w:proofErr w:type="spellEnd"/>
      <w:r w:rsidRPr="00537EB3">
        <w:rPr>
          <w:rFonts w:eastAsia="Times New Roman" w:cs="Times New Roman"/>
          <w:i/>
          <w:iCs/>
          <w:kern w:val="0"/>
          <w:sz w:val="16"/>
          <w:szCs w:val="16"/>
          <w:lang w:eastAsia="pl-PL"/>
          <w14:ligatures w14:val="none"/>
        </w:rPr>
        <w:t xml:space="preserve">: A </w:t>
      </w:r>
      <w:proofErr w:type="spellStart"/>
      <w:r w:rsidRPr="00537EB3">
        <w:rPr>
          <w:rFonts w:eastAsia="Times New Roman" w:cs="Times New Roman"/>
          <w:i/>
          <w:iCs/>
          <w:kern w:val="0"/>
          <w:sz w:val="16"/>
          <w:szCs w:val="16"/>
          <w:lang w:eastAsia="pl-PL"/>
          <w14:ligatures w14:val="none"/>
        </w:rPr>
        <w:t>Systematic</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Review</w:t>
      </w:r>
      <w:proofErr w:type="spellEnd"/>
      <w:r w:rsidRPr="00537EB3">
        <w:rPr>
          <w:rFonts w:eastAsia="Times New Roman" w:cs="Times New Roman"/>
          <w:kern w:val="0"/>
          <w:sz w:val="16"/>
          <w:szCs w:val="16"/>
          <w:lang w:eastAsia="pl-PL"/>
          <w14:ligatures w14:val="none"/>
        </w:rPr>
        <w:t>, „</w:t>
      </w:r>
      <w:proofErr w:type="spellStart"/>
      <w:r w:rsidRPr="00537EB3">
        <w:rPr>
          <w:rFonts w:eastAsia="Times New Roman" w:cs="Times New Roman"/>
          <w:kern w:val="0"/>
          <w:sz w:val="16"/>
          <w:szCs w:val="16"/>
          <w:lang w:eastAsia="pl-PL"/>
          <w14:ligatures w14:val="none"/>
        </w:rPr>
        <w:t>Musculoskeletal</w:t>
      </w:r>
      <w:proofErr w:type="spellEnd"/>
      <w:r w:rsidRPr="00537EB3">
        <w:rPr>
          <w:rFonts w:eastAsia="Times New Roman" w:cs="Times New Roman"/>
          <w:kern w:val="0"/>
          <w:sz w:val="16"/>
          <w:szCs w:val="16"/>
          <w:lang w:eastAsia="pl-PL"/>
          <w14:ligatures w14:val="none"/>
        </w:rPr>
        <w:t xml:space="preserve"> </w:t>
      </w:r>
      <w:proofErr w:type="spellStart"/>
      <w:r w:rsidRPr="00537EB3">
        <w:rPr>
          <w:rFonts w:eastAsia="Times New Roman" w:cs="Times New Roman"/>
          <w:kern w:val="0"/>
          <w:sz w:val="16"/>
          <w:szCs w:val="16"/>
          <w:lang w:eastAsia="pl-PL"/>
          <w14:ligatures w14:val="none"/>
        </w:rPr>
        <w:t>Care</w:t>
      </w:r>
      <w:proofErr w:type="spellEnd"/>
      <w:r w:rsidRPr="00537EB3">
        <w:rPr>
          <w:rFonts w:eastAsia="Times New Roman" w:cs="Times New Roman"/>
          <w:kern w:val="0"/>
          <w:sz w:val="16"/>
          <w:szCs w:val="16"/>
          <w:lang w:eastAsia="pl-PL"/>
          <w14:ligatures w14:val="none"/>
        </w:rPr>
        <w:t xml:space="preserve">”, DOI: 10.1002/msc.70114. </w:t>
      </w:r>
      <w:hyperlink r:id="rId6" w:history="1">
        <w:r w:rsidRPr="00537EB3">
          <w:rPr>
            <w:rFonts w:eastAsia="Times New Roman" w:cs="Times New Roman"/>
            <w:color w:val="0000FF"/>
            <w:kern w:val="0"/>
            <w:sz w:val="16"/>
            <w:szCs w:val="16"/>
            <w:u w:val="single"/>
            <w:lang w:eastAsia="pl-PL"/>
            <w14:ligatures w14:val="none"/>
          </w:rPr>
          <w:t>https://pubmed.ncbi.nlm.nih.gov/40338112/</w:t>
        </w:r>
      </w:hyperlink>
    </w:p>
    <w:p w14:paraId="304CF5AA" w14:textId="77777777" w:rsidR="00537EB3" w:rsidRPr="00537EB3" w:rsidRDefault="00537EB3" w:rsidP="00537EB3">
      <w:pPr>
        <w:numPr>
          <w:ilvl w:val="0"/>
          <w:numId w:val="2"/>
        </w:numPr>
        <w:spacing w:before="100" w:beforeAutospacing="1" w:after="100" w:afterAutospacing="1"/>
        <w:rPr>
          <w:rFonts w:eastAsia="Times New Roman" w:cs="Times New Roman"/>
          <w:kern w:val="0"/>
          <w:sz w:val="16"/>
          <w:szCs w:val="16"/>
          <w:lang w:eastAsia="pl-PL"/>
          <w14:ligatures w14:val="none"/>
        </w:rPr>
      </w:pPr>
      <w:r w:rsidRPr="00537EB3">
        <w:rPr>
          <w:rFonts w:eastAsia="Times New Roman" w:cs="Times New Roman"/>
          <w:kern w:val="0"/>
          <w:sz w:val="16"/>
          <w:szCs w:val="16"/>
          <w:lang w:eastAsia="pl-PL"/>
          <w14:ligatures w14:val="none"/>
        </w:rPr>
        <w:t xml:space="preserve">Hu X. i in. (2025), </w:t>
      </w:r>
      <w:r w:rsidRPr="00537EB3">
        <w:rPr>
          <w:rFonts w:eastAsia="Times New Roman" w:cs="Times New Roman"/>
          <w:i/>
          <w:iCs/>
          <w:kern w:val="0"/>
          <w:sz w:val="16"/>
          <w:szCs w:val="16"/>
          <w:lang w:eastAsia="pl-PL"/>
          <w14:ligatures w14:val="none"/>
        </w:rPr>
        <w:t xml:space="preserve">The </w:t>
      </w:r>
      <w:proofErr w:type="spellStart"/>
      <w:r w:rsidRPr="00537EB3">
        <w:rPr>
          <w:rFonts w:eastAsia="Times New Roman" w:cs="Times New Roman"/>
          <w:i/>
          <w:iCs/>
          <w:kern w:val="0"/>
          <w:sz w:val="16"/>
          <w:szCs w:val="16"/>
          <w:lang w:eastAsia="pl-PL"/>
          <w14:ligatures w14:val="none"/>
        </w:rPr>
        <w:t>Effect</w:t>
      </w:r>
      <w:proofErr w:type="spellEnd"/>
      <w:r w:rsidRPr="00537EB3">
        <w:rPr>
          <w:rFonts w:eastAsia="Times New Roman" w:cs="Times New Roman"/>
          <w:i/>
          <w:iCs/>
          <w:kern w:val="0"/>
          <w:sz w:val="16"/>
          <w:szCs w:val="16"/>
          <w:lang w:eastAsia="pl-PL"/>
          <w14:ligatures w14:val="none"/>
        </w:rPr>
        <w:t xml:space="preserve"> of </w:t>
      </w:r>
      <w:proofErr w:type="spellStart"/>
      <w:r w:rsidRPr="00537EB3">
        <w:rPr>
          <w:rFonts w:eastAsia="Times New Roman" w:cs="Times New Roman"/>
          <w:i/>
          <w:iCs/>
          <w:kern w:val="0"/>
          <w:sz w:val="16"/>
          <w:szCs w:val="16"/>
          <w:lang w:eastAsia="pl-PL"/>
          <w14:ligatures w14:val="none"/>
        </w:rPr>
        <w:t>Mattress</w:t>
      </w:r>
      <w:proofErr w:type="spellEnd"/>
      <w:r w:rsidRPr="00537EB3">
        <w:rPr>
          <w:rFonts w:eastAsia="Times New Roman" w:cs="Times New Roman"/>
          <w:i/>
          <w:iCs/>
          <w:kern w:val="0"/>
          <w:sz w:val="16"/>
          <w:szCs w:val="16"/>
          <w:lang w:eastAsia="pl-PL"/>
          <w14:ligatures w14:val="none"/>
        </w:rPr>
        <w:t xml:space="preserve"> </w:t>
      </w:r>
      <w:proofErr w:type="spellStart"/>
      <w:r w:rsidRPr="00537EB3">
        <w:rPr>
          <w:rFonts w:eastAsia="Times New Roman" w:cs="Times New Roman"/>
          <w:i/>
          <w:iCs/>
          <w:kern w:val="0"/>
          <w:sz w:val="16"/>
          <w:szCs w:val="16"/>
          <w:lang w:eastAsia="pl-PL"/>
          <w14:ligatures w14:val="none"/>
        </w:rPr>
        <w:t>Firmness</w:t>
      </w:r>
      <w:proofErr w:type="spellEnd"/>
      <w:r w:rsidRPr="00537EB3">
        <w:rPr>
          <w:rFonts w:eastAsia="Times New Roman" w:cs="Times New Roman"/>
          <w:i/>
          <w:iCs/>
          <w:kern w:val="0"/>
          <w:sz w:val="16"/>
          <w:szCs w:val="16"/>
          <w:lang w:eastAsia="pl-PL"/>
          <w14:ligatures w14:val="none"/>
        </w:rPr>
        <w:t xml:space="preserve"> on </w:t>
      </w:r>
      <w:proofErr w:type="spellStart"/>
      <w:r w:rsidRPr="00537EB3">
        <w:rPr>
          <w:rFonts w:eastAsia="Times New Roman" w:cs="Times New Roman"/>
          <w:i/>
          <w:iCs/>
          <w:kern w:val="0"/>
          <w:sz w:val="16"/>
          <w:szCs w:val="16"/>
          <w:lang w:eastAsia="pl-PL"/>
          <w14:ligatures w14:val="none"/>
        </w:rPr>
        <w:t>Sleep</w:t>
      </w:r>
      <w:proofErr w:type="spellEnd"/>
      <w:r w:rsidRPr="00537EB3">
        <w:rPr>
          <w:rFonts w:eastAsia="Times New Roman" w:cs="Times New Roman"/>
          <w:i/>
          <w:iCs/>
          <w:kern w:val="0"/>
          <w:sz w:val="16"/>
          <w:szCs w:val="16"/>
          <w:lang w:eastAsia="pl-PL"/>
          <w14:ligatures w14:val="none"/>
        </w:rPr>
        <w:t xml:space="preserve"> Architecture and PSG </w:t>
      </w:r>
      <w:proofErr w:type="spellStart"/>
      <w:r w:rsidRPr="00537EB3">
        <w:rPr>
          <w:rFonts w:eastAsia="Times New Roman" w:cs="Times New Roman"/>
          <w:i/>
          <w:iCs/>
          <w:kern w:val="0"/>
          <w:sz w:val="16"/>
          <w:szCs w:val="16"/>
          <w:lang w:eastAsia="pl-PL"/>
          <w14:ligatures w14:val="none"/>
        </w:rPr>
        <w:t>Characteristics</w:t>
      </w:r>
      <w:proofErr w:type="spellEnd"/>
      <w:r w:rsidRPr="00537EB3">
        <w:rPr>
          <w:rFonts w:eastAsia="Times New Roman" w:cs="Times New Roman"/>
          <w:kern w:val="0"/>
          <w:sz w:val="16"/>
          <w:szCs w:val="16"/>
          <w:lang w:eastAsia="pl-PL"/>
          <w14:ligatures w14:val="none"/>
        </w:rPr>
        <w:t xml:space="preserve">, „Nature and Science of </w:t>
      </w:r>
      <w:proofErr w:type="spellStart"/>
      <w:r w:rsidRPr="00537EB3">
        <w:rPr>
          <w:rFonts w:eastAsia="Times New Roman" w:cs="Times New Roman"/>
          <w:kern w:val="0"/>
          <w:sz w:val="16"/>
          <w:szCs w:val="16"/>
          <w:lang w:eastAsia="pl-PL"/>
          <w14:ligatures w14:val="none"/>
        </w:rPr>
        <w:t>Sleep</w:t>
      </w:r>
      <w:proofErr w:type="spellEnd"/>
      <w:r w:rsidRPr="00537EB3">
        <w:rPr>
          <w:rFonts w:eastAsia="Times New Roman" w:cs="Times New Roman"/>
          <w:kern w:val="0"/>
          <w:sz w:val="16"/>
          <w:szCs w:val="16"/>
          <w:lang w:eastAsia="pl-PL"/>
          <w14:ligatures w14:val="none"/>
        </w:rPr>
        <w:t xml:space="preserve">”, DOI: 10.2147/NSS.S503222. </w:t>
      </w:r>
      <w:hyperlink r:id="rId7" w:history="1">
        <w:r w:rsidRPr="00537EB3">
          <w:rPr>
            <w:rFonts w:eastAsia="Times New Roman" w:cs="Times New Roman"/>
            <w:color w:val="0000FF"/>
            <w:kern w:val="0"/>
            <w:sz w:val="16"/>
            <w:szCs w:val="16"/>
            <w:u w:val="single"/>
            <w:lang w:eastAsia="pl-PL"/>
            <w14:ligatures w14:val="none"/>
          </w:rPr>
          <w:t>https://doi.org/10.2147/NSS.S503222</w:t>
        </w:r>
      </w:hyperlink>
    </w:p>
    <w:p w14:paraId="2E4985FC" w14:textId="77777777" w:rsidR="00537EB3" w:rsidRPr="00537EB3" w:rsidRDefault="00537EB3" w:rsidP="00537EB3">
      <w:pPr>
        <w:spacing w:before="100" w:beforeAutospacing="1" w:after="100" w:afterAutospacing="1"/>
        <w:ind w:left="360"/>
        <w:jc w:val="both"/>
        <w:rPr>
          <w:rFonts w:eastAsia="Times New Roman" w:cs="Times New Roman"/>
          <w:kern w:val="0"/>
          <w:sz w:val="22"/>
          <w:szCs w:val="22"/>
          <w:lang w:eastAsia="pl-PL"/>
          <w14:ligatures w14:val="none"/>
        </w:rPr>
      </w:pPr>
    </w:p>
    <w:p w14:paraId="083F630C" w14:textId="77777777" w:rsidR="005925A5" w:rsidRDefault="005925A5"/>
    <w:sectPr w:rsidR="00592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B439C4"/>
    <w:multiLevelType w:val="multilevel"/>
    <w:tmpl w:val="9ABE1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3F38F2"/>
    <w:multiLevelType w:val="multilevel"/>
    <w:tmpl w:val="C6EAB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0402703">
    <w:abstractNumId w:val="1"/>
  </w:num>
  <w:num w:numId="2" w16cid:durableId="13575842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EB3"/>
    <w:rsid w:val="0016568D"/>
    <w:rsid w:val="003C151B"/>
    <w:rsid w:val="00537EB3"/>
    <w:rsid w:val="005925A5"/>
    <w:rsid w:val="00F61897"/>
    <w:rsid w:val="00F80612"/>
    <w:rsid w:val="00FE5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5B549676"/>
  <w15:chartTrackingRefBased/>
  <w15:docId w15:val="{55054E2B-2F41-3646-B0B7-D0F0EA2D3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37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537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537EB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37EB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37EB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37EB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37EB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37EB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37EB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37EB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537EB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537EB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37EB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37EB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37EB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37EB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37EB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37EB3"/>
    <w:rPr>
      <w:rFonts w:eastAsiaTheme="majorEastAsia" w:cstheme="majorBidi"/>
      <w:color w:val="272727" w:themeColor="text1" w:themeTint="D8"/>
    </w:rPr>
  </w:style>
  <w:style w:type="paragraph" w:styleId="Tytu">
    <w:name w:val="Title"/>
    <w:basedOn w:val="Normalny"/>
    <w:next w:val="Normalny"/>
    <w:link w:val="TytuZnak"/>
    <w:uiPriority w:val="10"/>
    <w:qFormat/>
    <w:rsid w:val="00537EB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37EB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37EB3"/>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37EB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37EB3"/>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537EB3"/>
    <w:rPr>
      <w:i/>
      <w:iCs/>
      <w:color w:val="404040" w:themeColor="text1" w:themeTint="BF"/>
    </w:rPr>
  </w:style>
  <w:style w:type="paragraph" w:styleId="Akapitzlist">
    <w:name w:val="List Paragraph"/>
    <w:basedOn w:val="Normalny"/>
    <w:uiPriority w:val="34"/>
    <w:qFormat/>
    <w:rsid w:val="00537EB3"/>
    <w:pPr>
      <w:ind w:left="720"/>
      <w:contextualSpacing/>
    </w:pPr>
  </w:style>
  <w:style w:type="character" w:styleId="Wyrnienieintensywne">
    <w:name w:val="Intense Emphasis"/>
    <w:basedOn w:val="Domylnaczcionkaakapitu"/>
    <w:uiPriority w:val="21"/>
    <w:qFormat/>
    <w:rsid w:val="00537EB3"/>
    <w:rPr>
      <w:i/>
      <w:iCs/>
      <w:color w:val="0F4761" w:themeColor="accent1" w:themeShade="BF"/>
    </w:rPr>
  </w:style>
  <w:style w:type="paragraph" w:styleId="Cytatintensywny">
    <w:name w:val="Intense Quote"/>
    <w:basedOn w:val="Normalny"/>
    <w:next w:val="Normalny"/>
    <w:link w:val="CytatintensywnyZnak"/>
    <w:uiPriority w:val="30"/>
    <w:qFormat/>
    <w:rsid w:val="00537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37EB3"/>
    <w:rPr>
      <w:i/>
      <w:iCs/>
      <w:color w:val="0F4761" w:themeColor="accent1" w:themeShade="BF"/>
    </w:rPr>
  </w:style>
  <w:style w:type="character" w:styleId="Odwoanieintensywne">
    <w:name w:val="Intense Reference"/>
    <w:basedOn w:val="Domylnaczcionkaakapitu"/>
    <w:uiPriority w:val="32"/>
    <w:qFormat/>
    <w:rsid w:val="00537EB3"/>
    <w:rPr>
      <w:b/>
      <w:bCs/>
      <w:smallCaps/>
      <w:color w:val="0F4761" w:themeColor="accent1" w:themeShade="BF"/>
      <w:spacing w:val="5"/>
    </w:rPr>
  </w:style>
  <w:style w:type="paragraph" w:styleId="NormalnyWeb">
    <w:name w:val="Normal (Web)"/>
    <w:basedOn w:val="Normalny"/>
    <w:uiPriority w:val="99"/>
    <w:semiHidden/>
    <w:unhideWhenUsed/>
    <w:rsid w:val="00537EB3"/>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537EB3"/>
    <w:rPr>
      <w:b/>
      <w:bCs/>
    </w:rPr>
  </w:style>
  <w:style w:type="character" w:styleId="Uwydatnienie">
    <w:name w:val="Emphasis"/>
    <w:basedOn w:val="Domylnaczcionkaakapitu"/>
    <w:uiPriority w:val="20"/>
    <w:qFormat/>
    <w:rsid w:val="00537EB3"/>
    <w:rPr>
      <w:i/>
      <w:iCs/>
    </w:rPr>
  </w:style>
  <w:style w:type="character" w:styleId="Hipercze">
    <w:name w:val="Hyperlink"/>
    <w:basedOn w:val="Domylnaczcionkaakapitu"/>
    <w:uiPriority w:val="99"/>
    <w:semiHidden/>
    <w:unhideWhenUsed/>
    <w:rsid w:val="00537E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147/NSS.S5032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40338112/" TargetMode="External"/><Relationship Id="rId5" Type="http://schemas.openxmlformats.org/officeDocument/2006/relationships/hyperlink" Target="https://link.springer.com/article/10.1186/s10195-026-00945-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1380</Words>
  <Characters>8670</Characters>
  <Application>Microsoft Office Word</Application>
  <DocSecurity>0</DocSecurity>
  <Lines>144</Lines>
  <Paragraphs>71</Paragraphs>
  <ScaleCrop>false</ScaleCrop>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m.szkudlarek@int.pl</dc:creator>
  <cp:keywords/>
  <dc:description/>
  <cp:lastModifiedBy>m.szkudlarek@int.pl</cp:lastModifiedBy>
  <cp:revision>2</cp:revision>
  <dcterms:created xsi:type="dcterms:W3CDTF">2026-10-13T12:59:00Z</dcterms:created>
  <dcterms:modified xsi:type="dcterms:W3CDTF">2026-10-14T10:50:00Z</dcterms:modified>
</cp:coreProperties>
</file>