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8CD8" w14:textId="77777777" w:rsidR="00822853" w:rsidRPr="00604B29" w:rsidRDefault="00822853" w:rsidP="00822853">
      <w:pPr>
        <w:pStyle w:val="Nagwek1"/>
        <w:rPr>
          <w:rStyle w:val="Pogrubienie"/>
          <w:sz w:val="28"/>
          <w:szCs w:val="28"/>
        </w:rPr>
      </w:pPr>
      <w:r w:rsidRPr="00604B29">
        <w:rPr>
          <w:rStyle w:val="Pogrubienie"/>
          <w:sz w:val="28"/>
          <w:szCs w:val="28"/>
        </w:rPr>
        <w:t>Wykonaj te 3 audyty</w:t>
      </w:r>
      <w:r>
        <w:rPr>
          <w:rStyle w:val="Pogrubienie"/>
          <w:sz w:val="28"/>
          <w:szCs w:val="28"/>
        </w:rPr>
        <w:t>,</w:t>
      </w:r>
      <w:r w:rsidRPr="00604B29">
        <w:rPr>
          <w:rStyle w:val="Pogrubienie"/>
          <w:sz w:val="28"/>
          <w:szCs w:val="28"/>
        </w:rPr>
        <w:t xml:space="preserve"> wybierając lokalizację inwestycji</w:t>
      </w:r>
      <w:r>
        <w:rPr>
          <w:rStyle w:val="Pogrubienie"/>
          <w:sz w:val="28"/>
          <w:szCs w:val="28"/>
        </w:rPr>
        <w:t>, a</w:t>
      </w:r>
      <w:r w:rsidRPr="00604B29">
        <w:rPr>
          <w:rStyle w:val="Pogrubienie"/>
          <w:sz w:val="28"/>
          <w:szCs w:val="28"/>
        </w:rPr>
        <w:t xml:space="preserve"> unikniesz ryzyka i zwiększysz szanse na sukces!</w:t>
      </w:r>
    </w:p>
    <w:p w14:paraId="24E606F9" w14:textId="77777777" w:rsidR="00822853" w:rsidRDefault="00822853" w:rsidP="00822853">
      <w:pPr>
        <w:spacing w:after="120"/>
        <w:ind w:hanging="360"/>
        <w:rPr>
          <w:rStyle w:val="Pogrubienie"/>
        </w:rPr>
      </w:pPr>
    </w:p>
    <w:p w14:paraId="27A64EDB" w14:textId="5712FB16" w:rsidR="00822853" w:rsidRDefault="00822853" w:rsidP="00822853">
      <w:pPr>
        <w:spacing w:after="120"/>
        <w:jc w:val="both"/>
        <w:rPr>
          <w:rStyle w:val="Pogrubienie"/>
        </w:rPr>
      </w:pPr>
      <w:r w:rsidRPr="00604B29">
        <w:rPr>
          <w:rStyle w:val="Pogrubienie"/>
        </w:rPr>
        <w:t xml:space="preserve">Dobra lokalizacja może przyczynić się do powodzenia projektu </w:t>
      </w:r>
      <w:r>
        <w:rPr>
          <w:rStyle w:val="Pogrubienie"/>
        </w:rPr>
        <w:t xml:space="preserve">budowlanego </w:t>
      </w:r>
      <w:r w:rsidRPr="00604B29">
        <w:rPr>
          <w:rStyle w:val="Pogrubienie"/>
        </w:rPr>
        <w:t>na wiele sposobów</w:t>
      </w:r>
      <w:r>
        <w:rPr>
          <w:rStyle w:val="Pogrubienie"/>
        </w:rPr>
        <w:t>. Między innymi</w:t>
      </w:r>
      <w:r w:rsidRPr="00604B29">
        <w:rPr>
          <w:rStyle w:val="Pogrubienie"/>
        </w:rPr>
        <w:t xml:space="preserve"> zwiększ</w:t>
      </w:r>
      <w:r>
        <w:rPr>
          <w:rStyle w:val="Pogrubienie"/>
        </w:rPr>
        <w:t>ając</w:t>
      </w:r>
      <w:r w:rsidRPr="00604B29">
        <w:rPr>
          <w:rStyle w:val="Pogrubienie"/>
        </w:rPr>
        <w:t xml:space="preserve"> wartość nieruchomości, </w:t>
      </w:r>
      <w:r>
        <w:rPr>
          <w:rStyle w:val="Pogrubienie"/>
        </w:rPr>
        <w:t xml:space="preserve">pozwalając </w:t>
      </w:r>
      <w:r w:rsidRPr="00604B29">
        <w:rPr>
          <w:rStyle w:val="Pogrubienie"/>
        </w:rPr>
        <w:t>przyciągnąć lepszych najemców</w:t>
      </w:r>
      <w:r>
        <w:rPr>
          <w:rStyle w:val="Pogrubienie"/>
        </w:rPr>
        <w:t xml:space="preserve"> i</w:t>
      </w:r>
      <w:r w:rsidRPr="00604B29">
        <w:rPr>
          <w:rStyle w:val="Pogrubienie"/>
        </w:rPr>
        <w:t xml:space="preserve"> zmniejsz</w:t>
      </w:r>
      <w:r>
        <w:rPr>
          <w:rStyle w:val="Pogrubienie"/>
        </w:rPr>
        <w:t>ając</w:t>
      </w:r>
      <w:r w:rsidRPr="00604B29">
        <w:rPr>
          <w:rStyle w:val="Pogrubienie"/>
        </w:rPr>
        <w:t xml:space="preserve"> ryzyko inwestycyjne.</w:t>
      </w:r>
      <w:r>
        <w:rPr>
          <w:rStyle w:val="Pogrubienie"/>
        </w:rPr>
        <w:t xml:space="preserve"> Dlatego warto</w:t>
      </w:r>
      <w:r w:rsidRPr="00604B29">
        <w:rPr>
          <w:rStyle w:val="Pogrubienie"/>
        </w:rPr>
        <w:t xml:space="preserve"> przeprowadz</w:t>
      </w:r>
      <w:r>
        <w:rPr>
          <w:rStyle w:val="Pogrubienie"/>
        </w:rPr>
        <w:t>ić</w:t>
      </w:r>
      <w:r w:rsidRPr="00604B29">
        <w:rPr>
          <w:rStyle w:val="Pogrubienie"/>
        </w:rPr>
        <w:t xml:space="preserve"> odpowiedni</w:t>
      </w:r>
      <w:r>
        <w:rPr>
          <w:rStyle w:val="Pogrubienie"/>
        </w:rPr>
        <w:t>e</w:t>
      </w:r>
      <w:r w:rsidRPr="00604B29">
        <w:rPr>
          <w:rStyle w:val="Pogrubienie"/>
        </w:rPr>
        <w:t xml:space="preserve"> audyt</w:t>
      </w:r>
      <w:r>
        <w:rPr>
          <w:rStyle w:val="Pogrubienie"/>
        </w:rPr>
        <w:t>y</w:t>
      </w:r>
      <w:r w:rsidRPr="00604B29">
        <w:rPr>
          <w:rStyle w:val="Pogrubienie"/>
        </w:rPr>
        <w:t xml:space="preserve">, które </w:t>
      </w:r>
      <w:r>
        <w:rPr>
          <w:rStyle w:val="Pogrubienie"/>
        </w:rPr>
        <w:t>w wyniku</w:t>
      </w:r>
      <w:r w:rsidRPr="00604B29">
        <w:rPr>
          <w:rStyle w:val="Pogrubienie"/>
        </w:rPr>
        <w:t xml:space="preserve"> kompleksowej analizy </w:t>
      </w:r>
      <w:r>
        <w:rPr>
          <w:rStyle w:val="Pogrubienie"/>
        </w:rPr>
        <w:t>pozwolą</w:t>
      </w:r>
      <w:r w:rsidRPr="00604B29">
        <w:rPr>
          <w:rStyle w:val="Pogrubienie"/>
        </w:rPr>
        <w:t xml:space="preserve"> ocen</w:t>
      </w:r>
      <w:r>
        <w:rPr>
          <w:rStyle w:val="Pogrubienie"/>
        </w:rPr>
        <w:t>ić</w:t>
      </w:r>
      <w:r w:rsidRPr="00604B29">
        <w:rPr>
          <w:rStyle w:val="Pogrubienie"/>
        </w:rPr>
        <w:t xml:space="preserve"> potencjaln</w:t>
      </w:r>
      <w:r>
        <w:rPr>
          <w:rStyle w:val="Pogrubienie"/>
        </w:rPr>
        <w:t>e</w:t>
      </w:r>
      <w:r w:rsidRPr="00604B29">
        <w:rPr>
          <w:rStyle w:val="Pogrubienie"/>
        </w:rPr>
        <w:t xml:space="preserve"> ryzyk</w:t>
      </w:r>
      <w:r>
        <w:rPr>
          <w:rStyle w:val="Pogrubienie"/>
        </w:rPr>
        <w:t>a</w:t>
      </w:r>
      <w:r w:rsidRPr="00604B29">
        <w:rPr>
          <w:rStyle w:val="Pogrubienie"/>
        </w:rPr>
        <w:t xml:space="preserve"> oraz korzyści związan</w:t>
      </w:r>
      <w:r>
        <w:rPr>
          <w:rStyle w:val="Pogrubienie"/>
        </w:rPr>
        <w:t>e</w:t>
      </w:r>
      <w:r w:rsidRPr="00604B29">
        <w:rPr>
          <w:rStyle w:val="Pogrubienie"/>
        </w:rPr>
        <w:t xml:space="preserve"> z daną lokalizacją</w:t>
      </w:r>
      <w:r>
        <w:rPr>
          <w:rStyle w:val="Pogrubienie"/>
        </w:rPr>
        <w:t xml:space="preserve">. Ponadto pozwolą </w:t>
      </w:r>
      <w:r w:rsidRPr="00D658DA">
        <w:rPr>
          <w:rStyle w:val="Pogrubienie"/>
        </w:rPr>
        <w:t xml:space="preserve">na uwzględnienie ewentualnych nieprzewidzianych wcześniej działań w budżecie i harmonogramie </w:t>
      </w:r>
      <w:r w:rsidR="008C5969">
        <w:rPr>
          <w:rStyle w:val="Pogrubienie"/>
        </w:rPr>
        <w:t>realizacji inwestycji</w:t>
      </w:r>
      <w:r w:rsidRPr="00D658DA">
        <w:rPr>
          <w:rStyle w:val="Pogrubienie"/>
        </w:rPr>
        <w:t>.</w:t>
      </w:r>
      <w:r>
        <w:t xml:space="preserve"> </w:t>
      </w:r>
    </w:p>
    <w:p w14:paraId="302EF4FC" w14:textId="2C46279B" w:rsidR="00B773D4" w:rsidRDefault="00822853" w:rsidP="00822853">
      <w:pPr>
        <w:spacing w:after="120"/>
        <w:jc w:val="both"/>
        <w:rPr>
          <w:rStyle w:val="Pogrubienie"/>
          <w:b w:val="0"/>
          <w:bCs w:val="0"/>
        </w:rPr>
      </w:pPr>
      <w:r w:rsidRPr="00443658">
        <w:rPr>
          <w:rStyle w:val="Pogrubienie"/>
          <w:b w:val="0"/>
          <w:bCs w:val="0"/>
        </w:rPr>
        <w:t xml:space="preserve">Nieodłączny element skutecznej analizy i oceny lokalizacji inwestycji stanowią trzy audyty. Pierwszym z nich jest </w:t>
      </w:r>
      <w:r w:rsidR="00B773D4" w:rsidRPr="00443658">
        <w:rPr>
          <w:rStyle w:val="Pogrubienie"/>
          <w:b w:val="0"/>
          <w:bCs w:val="0"/>
        </w:rPr>
        <w:t xml:space="preserve">audyt techniczny, czyli Technical </w:t>
      </w:r>
      <w:proofErr w:type="spellStart"/>
      <w:r w:rsidR="00B773D4" w:rsidRPr="00443658">
        <w:rPr>
          <w:rStyle w:val="Pogrubienie"/>
          <w:b w:val="0"/>
          <w:bCs w:val="0"/>
        </w:rPr>
        <w:t>Due</w:t>
      </w:r>
      <w:proofErr w:type="spellEnd"/>
      <w:r w:rsidR="00B773D4" w:rsidRPr="00443658">
        <w:rPr>
          <w:rStyle w:val="Pogrubienie"/>
          <w:b w:val="0"/>
          <w:bCs w:val="0"/>
        </w:rPr>
        <w:t xml:space="preserve"> </w:t>
      </w:r>
      <w:proofErr w:type="spellStart"/>
      <w:r w:rsidR="00B773D4" w:rsidRPr="00443658">
        <w:rPr>
          <w:rStyle w:val="Pogrubienie"/>
          <w:b w:val="0"/>
          <w:bCs w:val="0"/>
        </w:rPr>
        <w:t>Diligence</w:t>
      </w:r>
      <w:proofErr w:type="spellEnd"/>
      <w:r w:rsidR="00B773D4" w:rsidRPr="00443658">
        <w:rPr>
          <w:rStyle w:val="Pogrubienie"/>
          <w:b w:val="0"/>
          <w:bCs w:val="0"/>
        </w:rPr>
        <w:t xml:space="preserve">, który skupia się na technicznej analizie infrastruktury </w:t>
      </w:r>
      <w:r w:rsidR="00B773D4">
        <w:rPr>
          <w:rStyle w:val="Pogrubienie"/>
          <w:b w:val="0"/>
          <w:bCs w:val="0"/>
        </w:rPr>
        <w:t xml:space="preserve">znajdującej się lub koniecznej do wykonania </w:t>
      </w:r>
      <w:r w:rsidR="00B773D4" w:rsidRPr="00443658">
        <w:rPr>
          <w:rStyle w:val="Pogrubienie"/>
          <w:b w:val="0"/>
          <w:bCs w:val="0"/>
        </w:rPr>
        <w:t>na wybran</w:t>
      </w:r>
      <w:r w:rsidR="00B773D4">
        <w:rPr>
          <w:rStyle w:val="Pogrubienie"/>
          <w:b w:val="0"/>
          <w:bCs w:val="0"/>
        </w:rPr>
        <w:t>ym</w:t>
      </w:r>
      <w:r w:rsidR="00B773D4" w:rsidRPr="00443658">
        <w:rPr>
          <w:rStyle w:val="Pogrubienie"/>
          <w:b w:val="0"/>
          <w:bCs w:val="0"/>
        </w:rPr>
        <w:t xml:space="preserve"> </w:t>
      </w:r>
      <w:r w:rsidR="00B773D4">
        <w:rPr>
          <w:rStyle w:val="Pogrubienie"/>
          <w:b w:val="0"/>
          <w:bCs w:val="0"/>
        </w:rPr>
        <w:t>obszarze</w:t>
      </w:r>
      <w:r w:rsidR="00B773D4" w:rsidRPr="00443658">
        <w:rPr>
          <w:rStyle w:val="Pogrubienie"/>
          <w:b w:val="0"/>
          <w:bCs w:val="0"/>
        </w:rPr>
        <w:t>.</w:t>
      </w:r>
      <w:r w:rsidR="00B773D4">
        <w:rPr>
          <w:rStyle w:val="Pogrubienie"/>
          <w:b w:val="0"/>
          <w:bCs w:val="0"/>
        </w:rPr>
        <w:t xml:space="preserve"> </w:t>
      </w:r>
      <w:r w:rsidR="00B773D4" w:rsidRPr="00443658">
        <w:rPr>
          <w:rStyle w:val="Pogrubienie"/>
          <w:b w:val="0"/>
          <w:bCs w:val="0"/>
        </w:rPr>
        <w:t>Kolejny to</w:t>
      </w:r>
      <w:r w:rsidR="00B773D4">
        <w:rPr>
          <w:rStyle w:val="Pogrubienie"/>
          <w:b w:val="0"/>
          <w:bCs w:val="0"/>
        </w:rPr>
        <w:t xml:space="preserve"> </w:t>
      </w:r>
      <w:proofErr w:type="spellStart"/>
      <w:r w:rsidRPr="00443658">
        <w:rPr>
          <w:rStyle w:val="Pogrubienie"/>
          <w:b w:val="0"/>
          <w:bCs w:val="0"/>
        </w:rPr>
        <w:t>Environmental</w:t>
      </w:r>
      <w:proofErr w:type="spellEnd"/>
      <w:r w:rsidRPr="00443658">
        <w:rPr>
          <w:rStyle w:val="Pogrubienie"/>
          <w:b w:val="0"/>
          <w:bCs w:val="0"/>
        </w:rPr>
        <w:t xml:space="preserve"> </w:t>
      </w:r>
      <w:proofErr w:type="spellStart"/>
      <w:r w:rsidRPr="00443658">
        <w:rPr>
          <w:rStyle w:val="Pogrubienie"/>
          <w:b w:val="0"/>
          <w:bCs w:val="0"/>
        </w:rPr>
        <w:t>Due</w:t>
      </w:r>
      <w:proofErr w:type="spellEnd"/>
      <w:r w:rsidRPr="00443658">
        <w:rPr>
          <w:rStyle w:val="Pogrubienie"/>
          <w:b w:val="0"/>
          <w:bCs w:val="0"/>
        </w:rPr>
        <w:t xml:space="preserve"> </w:t>
      </w:r>
      <w:proofErr w:type="spellStart"/>
      <w:r w:rsidRPr="00443658">
        <w:rPr>
          <w:rStyle w:val="Pogrubienie"/>
          <w:b w:val="0"/>
          <w:bCs w:val="0"/>
        </w:rPr>
        <w:t>Diligence</w:t>
      </w:r>
      <w:proofErr w:type="spellEnd"/>
      <w:r w:rsidRPr="00443658">
        <w:rPr>
          <w:rStyle w:val="Pogrubienie"/>
          <w:b w:val="0"/>
          <w:bCs w:val="0"/>
        </w:rPr>
        <w:t>, czyli audyt środowiskowy</w:t>
      </w:r>
      <w:r w:rsidR="00B773D4">
        <w:rPr>
          <w:rStyle w:val="Pogrubienie"/>
          <w:b w:val="0"/>
          <w:bCs w:val="0"/>
        </w:rPr>
        <w:t xml:space="preserve">, </w:t>
      </w:r>
      <w:r w:rsidR="005476AE" w:rsidRPr="005476AE">
        <w:rPr>
          <w:rStyle w:val="Pogrubienie"/>
          <w:b w:val="0"/>
          <w:bCs w:val="0"/>
        </w:rPr>
        <w:t xml:space="preserve">proces analizy i oceny ryzyka środowiskowego związanego z </w:t>
      </w:r>
      <w:r w:rsidR="005476AE">
        <w:rPr>
          <w:rStyle w:val="Pogrubienie"/>
          <w:b w:val="0"/>
          <w:bCs w:val="0"/>
        </w:rPr>
        <w:t>realizacją planowanej inwestycji na danym terenie.</w:t>
      </w:r>
      <w:r w:rsidR="00EB216B" w:rsidRPr="00EB216B">
        <w:rPr>
          <w:rStyle w:val="Pogrubienie"/>
          <w:b w:val="0"/>
          <w:bCs w:val="0"/>
        </w:rPr>
        <w:t xml:space="preserve"> </w:t>
      </w:r>
      <w:r w:rsidRPr="00443658">
        <w:rPr>
          <w:rStyle w:val="Pogrubienie"/>
          <w:b w:val="0"/>
          <w:bCs w:val="0"/>
        </w:rPr>
        <w:t xml:space="preserve">Trzecim istotnym audytem jest </w:t>
      </w:r>
      <w:proofErr w:type="spellStart"/>
      <w:r w:rsidR="00C34AD0" w:rsidRPr="00443658">
        <w:rPr>
          <w:rStyle w:val="Pogrubienie"/>
          <w:b w:val="0"/>
          <w:bCs w:val="0"/>
        </w:rPr>
        <w:t>Legal</w:t>
      </w:r>
      <w:proofErr w:type="spellEnd"/>
      <w:r w:rsidR="00C34AD0" w:rsidRPr="00443658">
        <w:rPr>
          <w:rStyle w:val="Pogrubienie"/>
          <w:b w:val="0"/>
          <w:bCs w:val="0"/>
        </w:rPr>
        <w:t xml:space="preserve"> </w:t>
      </w:r>
      <w:proofErr w:type="spellStart"/>
      <w:r w:rsidR="00C34AD0" w:rsidRPr="00443658">
        <w:rPr>
          <w:rStyle w:val="Pogrubienie"/>
          <w:b w:val="0"/>
          <w:bCs w:val="0"/>
        </w:rPr>
        <w:t>Due</w:t>
      </w:r>
      <w:proofErr w:type="spellEnd"/>
      <w:r w:rsidR="00C34AD0" w:rsidRPr="00443658">
        <w:rPr>
          <w:rStyle w:val="Pogrubienie"/>
          <w:b w:val="0"/>
          <w:bCs w:val="0"/>
        </w:rPr>
        <w:t xml:space="preserve"> </w:t>
      </w:r>
      <w:proofErr w:type="spellStart"/>
      <w:r w:rsidR="00C34AD0" w:rsidRPr="00443658">
        <w:rPr>
          <w:rStyle w:val="Pogrubienie"/>
          <w:b w:val="0"/>
          <w:bCs w:val="0"/>
        </w:rPr>
        <w:t>Diligence</w:t>
      </w:r>
      <w:proofErr w:type="spellEnd"/>
      <w:r w:rsidR="00C34AD0">
        <w:rPr>
          <w:rStyle w:val="Pogrubienie"/>
          <w:b w:val="0"/>
          <w:bCs w:val="0"/>
        </w:rPr>
        <w:t xml:space="preserve">, </w:t>
      </w:r>
      <w:r w:rsidR="00C34AD0" w:rsidRPr="00443658">
        <w:rPr>
          <w:rStyle w:val="Pogrubienie"/>
          <w:b w:val="0"/>
          <w:bCs w:val="0"/>
        </w:rPr>
        <w:t xml:space="preserve">który pozwala na sprawdzenie aspektów prawnych i </w:t>
      </w:r>
      <w:r w:rsidR="00C34AD0">
        <w:rPr>
          <w:rStyle w:val="Pogrubienie"/>
          <w:b w:val="0"/>
          <w:bCs w:val="0"/>
        </w:rPr>
        <w:t xml:space="preserve">wymogów </w:t>
      </w:r>
      <w:r w:rsidR="00C34AD0" w:rsidRPr="00443658">
        <w:rPr>
          <w:rStyle w:val="Pogrubienie"/>
          <w:b w:val="0"/>
          <w:bCs w:val="0"/>
        </w:rPr>
        <w:t>regulacyjnych związanych z wybraną lokalizacją.</w:t>
      </w:r>
      <w:r w:rsidR="00B773D4">
        <w:rPr>
          <w:rStyle w:val="Pogrubienie"/>
          <w:b w:val="0"/>
          <w:bCs w:val="0"/>
        </w:rPr>
        <w:t xml:space="preserve"> </w:t>
      </w:r>
      <w:r>
        <w:rPr>
          <w:rStyle w:val="Pogrubienie"/>
          <w:b w:val="0"/>
          <w:bCs w:val="0"/>
        </w:rPr>
        <w:t xml:space="preserve">Przyjrzyjmy się bliżej każdemu z tych audytów, by lepiej </w:t>
      </w:r>
      <w:r w:rsidRPr="001C459A">
        <w:rPr>
          <w:rStyle w:val="Pogrubienie"/>
          <w:b w:val="0"/>
          <w:bCs w:val="0"/>
        </w:rPr>
        <w:t xml:space="preserve">zrozumieć, dlaczego są </w:t>
      </w:r>
      <w:r>
        <w:rPr>
          <w:rStyle w:val="Pogrubienie"/>
          <w:b w:val="0"/>
          <w:bCs w:val="0"/>
        </w:rPr>
        <w:t xml:space="preserve">one </w:t>
      </w:r>
      <w:r w:rsidRPr="001C459A">
        <w:rPr>
          <w:rStyle w:val="Pogrubienie"/>
          <w:b w:val="0"/>
          <w:bCs w:val="0"/>
        </w:rPr>
        <w:t xml:space="preserve">niezbędne dla udanego wyboru lokalizacji inwestycji i jakie korzyści </w:t>
      </w:r>
      <w:r>
        <w:rPr>
          <w:rStyle w:val="Pogrubienie"/>
          <w:b w:val="0"/>
          <w:bCs w:val="0"/>
        </w:rPr>
        <w:t>płyną z ich przeprowadzenia</w:t>
      </w:r>
      <w:r w:rsidRPr="001C459A">
        <w:rPr>
          <w:rStyle w:val="Pogrubienie"/>
          <w:b w:val="0"/>
          <w:bCs w:val="0"/>
        </w:rPr>
        <w:t>.</w:t>
      </w:r>
    </w:p>
    <w:p w14:paraId="2E823981" w14:textId="3FF42980" w:rsidR="00B773D4" w:rsidRPr="000B09A5" w:rsidRDefault="00B773D4" w:rsidP="00B773D4">
      <w:pPr>
        <w:pStyle w:val="Nagwek2"/>
        <w:rPr>
          <w:rStyle w:val="Pogrubienie"/>
          <w:b w:val="0"/>
          <w:bCs/>
        </w:rPr>
      </w:pPr>
      <w:r w:rsidRPr="000B09A5">
        <w:rPr>
          <w:rStyle w:val="Pogrubienie"/>
          <w:b w:val="0"/>
          <w:bCs/>
        </w:rPr>
        <w:t xml:space="preserve">Audyt techniczny, czyli Technical </w:t>
      </w:r>
      <w:proofErr w:type="spellStart"/>
      <w:r w:rsidRPr="000B09A5">
        <w:rPr>
          <w:rStyle w:val="Pogrubienie"/>
          <w:b w:val="0"/>
          <w:bCs/>
        </w:rPr>
        <w:t>Due</w:t>
      </w:r>
      <w:proofErr w:type="spellEnd"/>
      <w:r w:rsidRPr="000B09A5">
        <w:rPr>
          <w:rStyle w:val="Pogrubienie"/>
          <w:b w:val="0"/>
          <w:bCs/>
        </w:rPr>
        <w:t xml:space="preserve"> </w:t>
      </w:r>
      <w:proofErr w:type="spellStart"/>
      <w:r w:rsidRPr="000B09A5">
        <w:rPr>
          <w:rStyle w:val="Pogrubienie"/>
          <w:b w:val="0"/>
          <w:bCs/>
        </w:rPr>
        <w:t>Diligence</w:t>
      </w:r>
      <w:proofErr w:type="spellEnd"/>
      <w:r w:rsidR="00FF3F50">
        <w:rPr>
          <w:rStyle w:val="Pogrubienie"/>
          <w:b w:val="0"/>
          <w:bCs/>
        </w:rPr>
        <w:t xml:space="preserve"> (TDD)</w:t>
      </w:r>
    </w:p>
    <w:p w14:paraId="28925315" w14:textId="77777777" w:rsidR="00B773D4" w:rsidRPr="00412177" w:rsidRDefault="00B773D4" w:rsidP="00B773D4">
      <w:pPr>
        <w:spacing w:after="120"/>
        <w:jc w:val="both"/>
        <w:rPr>
          <w:rStyle w:val="Pogrubienie"/>
          <w:b w:val="0"/>
          <w:bCs w:val="0"/>
        </w:rPr>
      </w:pPr>
      <w:r>
        <w:rPr>
          <w:rStyle w:val="Pogrubienie"/>
          <w:b w:val="0"/>
          <w:bCs w:val="0"/>
        </w:rPr>
        <w:t xml:space="preserve">Technical </w:t>
      </w:r>
      <w:proofErr w:type="spellStart"/>
      <w:r>
        <w:rPr>
          <w:rStyle w:val="Pogrubienie"/>
          <w:b w:val="0"/>
          <w:bCs w:val="0"/>
        </w:rPr>
        <w:t>Due</w:t>
      </w:r>
      <w:proofErr w:type="spellEnd"/>
      <w:r>
        <w:rPr>
          <w:rStyle w:val="Pogrubienie"/>
          <w:b w:val="0"/>
          <w:bCs w:val="0"/>
        </w:rPr>
        <w:t xml:space="preserve"> </w:t>
      </w:r>
      <w:proofErr w:type="spellStart"/>
      <w:r>
        <w:rPr>
          <w:rStyle w:val="Pogrubienie"/>
          <w:b w:val="0"/>
          <w:bCs w:val="0"/>
        </w:rPr>
        <w:t>Diligence</w:t>
      </w:r>
      <w:proofErr w:type="spellEnd"/>
      <w:r>
        <w:rPr>
          <w:rStyle w:val="Pogrubienie"/>
          <w:b w:val="0"/>
          <w:bCs w:val="0"/>
        </w:rPr>
        <w:t xml:space="preserve"> to audyt, którego celem jest analiza aspektów technicznych realizacji inwestycji na danym terenie</w:t>
      </w:r>
      <w:r w:rsidRPr="00EF2238">
        <w:t>. Na czym polega?</w:t>
      </w:r>
      <w:r>
        <w:t xml:space="preserve"> </w:t>
      </w:r>
      <w:r w:rsidRPr="00EF2238">
        <w:rPr>
          <w:rStyle w:val="Pogrubienie"/>
          <w:b w:val="0"/>
        </w:rPr>
        <w:t xml:space="preserve">– W trakcie TDD działki inwestycyjnej skupiamy się na </w:t>
      </w:r>
      <w:r>
        <w:rPr>
          <w:rStyle w:val="Pogrubienie"/>
          <w:b w:val="0"/>
        </w:rPr>
        <w:t>analizie możliwości zapewnienia mediów, komunikacji oraz konieczności likwidacji ewentualnych kolizji. W ramach tego audytu badane są również uwarunkowania planistyczne.</w:t>
      </w:r>
      <w:r w:rsidRPr="00EF2238">
        <w:rPr>
          <w:rStyle w:val="Pogrubienie"/>
          <w:b w:val="0"/>
        </w:rPr>
        <w:t xml:space="preserve"> Wszystko po to, aby pozyskać pełny obraz potencjału nieruchomości i określić techniczne aspekty realizacji inwestycji, takie jak np. konieczność rozbudowy sieci wodociągowej czy realizacji inwestycji drogowej. – wyjaśnia Kaja Sawicka</w:t>
      </w:r>
      <w:r>
        <w:rPr>
          <w:rStyle w:val="Pogrubienie"/>
          <w:b w:val="0"/>
        </w:rPr>
        <w:t xml:space="preserve">, </w:t>
      </w:r>
      <w:proofErr w:type="spellStart"/>
      <w:r w:rsidRPr="0013013E">
        <w:t>Head</w:t>
      </w:r>
      <w:proofErr w:type="spellEnd"/>
      <w:r w:rsidRPr="0013013E">
        <w:t xml:space="preserve"> of PM </w:t>
      </w:r>
      <w:proofErr w:type="spellStart"/>
      <w:r w:rsidRPr="0013013E">
        <w:t>Predevelopment</w:t>
      </w:r>
      <w:proofErr w:type="spellEnd"/>
      <w:r w:rsidRPr="0013013E">
        <w:t xml:space="preserve"> w Project Management</w:t>
      </w:r>
      <w:r>
        <w:t xml:space="preserve">, firmie zajmującej się </w:t>
      </w:r>
      <w:r w:rsidRPr="0013013E">
        <w:t>wspieraniem inwestorów na każdym etapie procesu inwestycyjnego: od wstępnych analiz, przez projektowanie, po nadzór budowlany.</w:t>
      </w:r>
    </w:p>
    <w:p w14:paraId="5CABDE52" w14:textId="1A6A2D05" w:rsidR="00822853" w:rsidRPr="000B09A5" w:rsidRDefault="00822853" w:rsidP="00822853">
      <w:pPr>
        <w:pStyle w:val="Nagwek2"/>
        <w:rPr>
          <w:rStyle w:val="Pogrubienie"/>
          <w:b w:val="0"/>
          <w:bCs/>
        </w:rPr>
      </w:pPr>
      <w:proofErr w:type="spellStart"/>
      <w:r w:rsidRPr="000B09A5">
        <w:rPr>
          <w:rStyle w:val="Pogrubienie"/>
          <w:b w:val="0"/>
          <w:bCs/>
        </w:rPr>
        <w:t>Environmental</w:t>
      </w:r>
      <w:proofErr w:type="spellEnd"/>
      <w:r w:rsidRPr="000B09A5">
        <w:rPr>
          <w:rStyle w:val="Pogrubienie"/>
          <w:b w:val="0"/>
          <w:bCs/>
        </w:rPr>
        <w:t xml:space="preserve"> </w:t>
      </w:r>
      <w:proofErr w:type="spellStart"/>
      <w:r w:rsidRPr="000B09A5">
        <w:rPr>
          <w:rStyle w:val="Pogrubienie"/>
          <w:b w:val="0"/>
          <w:bCs/>
        </w:rPr>
        <w:t>Due</w:t>
      </w:r>
      <w:proofErr w:type="spellEnd"/>
      <w:r w:rsidRPr="000B09A5">
        <w:rPr>
          <w:rStyle w:val="Pogrubienie"/>
          <w:b w:val="0"/>
          <w:bCs/>
        </w:rPr>
        <w:t xml:space="preserve"> </w:t>
      </w:r>
      <w:proofErr w:type="spellStart"/>
      <w:r w:rsidRPr="000B09A5">
        <w:rPr>
          <w:rStyle w:val="Pogrubienie"/>
          <w:b w:val="0"/>
          <w:bCs/>
        </w:rPr>
        <w:t>Diligence</w:t>
      </w:r>
      <w:proofErr w:type="spellEnd"/>
      <w:r w:rsidR="00FF3F50">
        <w:rPr>
          <w:rStyle w:val="Pogrubienie"/>
          <w:b w:val="0"/>
          <w:bCs/>
        </w:rPr>
        <w:t xml:space="preserve"> (EDD)</w:t>
      </w:r>
      <w:r w:rsidRPr="000B09A5">
        <w:rPr>
          <w:rStyle w:val="Pogrubienie"/>
          <w:b w:val="0"/>
          <w:bCs/>
        </w:rPr>
        <w:t>, czyli audyt środowiskowy</w:t>
      </w:r>
    </w:p>
    <w:p w14:paraId="487CDB89" w14:textId="764DC5C5" w:rsidR="00822853" w:rsidRPr="00412177" w:rsidRDefault="00822853" w:rsidP="00822853">
      <w:pPr>
        <w:spacing w:after="120"/>
        <w:jc w:val="both"/>
        <w:rPr>
          <w:rStyle w:val="Pogrubienie"/>
          <w:b w:val="0"/>
          <w:bCs w:val="0"/>
        </w:rPr>
      </w:pPr>
      <w:r w:rsidRPr="00412177">
        <w:rPr>
          <w:rStyle w:val="Pogrubienie"/>
          <w:b w:val="0"/>
          <w:bCs w:val="0"/>
        </w:rPr>
        <w:t>Analiza aspektów środowiskowych</w:t>
      </w:r>
      <w:r>
        <w:rPr>
          <w:rStyle w:val="Pogrubienie"/>
          <w:b w:val="0"/>
          <w:bCs w:val="0"/>
        </w:rPr>
        <w:t xml:space="preserve"> </w:t>
      </w:r>
      <w:r w:rsidRPr="00412177">
        <w:rPr>
          <w:rStyle w:val="Pogrubienie"/>
          <w:b w:val="0"/>
          <w:bCs w:val="0"/>
        </w:rPr>
        <w:t>jest kluczowym etapem w procesie inwestycyjnym</w:t>
      </w:r>
      <w:r w:rsidR="00D81225">
        <w:rPr>
          <w:rStyle w:val="Pogrubienie"/>
          <w:b w:val="0"/>
          <w:bCs w:val="0"/>
        </w:rPr>
        <w:t xml:space="preserve">. </w:t>
      </w:r>
      <w:r>
        <w:rPr>
          <w:rStyle w:val="Pogrubienie"/>
          <w:b w:val="0"/>
          <w:bCs w:val="0"/>
        </w:rPr>
        <w:t xml:space="preserve"> </w:t>
      </w:r>
      <w:r w:rsidR="00FF3F50">
        <w:rPr>
          <w:rStyle w:val="Pogrubienie"/>
          <w:b w:val="0"/>
          <w:bCs w:val="0"/>
        </w:rPr>
        <w:t xml:space="preserve">Dlatego </w:t>
      </w:r>
      <w:r w:rsidR="00FF3F50" w:rsidRPr="00FF3F50">
        <w:rPr>
          <w:rStyle w:val="Pogrubienie"/>
          <w:b w:val="0"/>
          <w:bCs w:val="0"/>
        </w:rPr>
        <w:t>TDD i EDD dopełniają się wzajemnie, a często nawet przenikają</w:t>
      </w:r>
      <w:r w:rsidR="008C15C5">
        <w:rPr>
          <w:rStyle w:val="Pogrubienie"/>
          <w:b w:val="0"/>
          <w:bCs w:val="0"/>
        </w:rPr>
        <w:t>.</w:t>
      </w:r>
      <w:r w:rsidR="00FF3F50">
        <w:rPr>
          <w:rStyle w:val="Pogrubienie"/>
          <w:b w:val="0"/>
          <w:bCs w:val="0"/>
        </w:rPr>
        <w:t xml:space="preserve"> EDD może być także </w:t>
      </w:r>
      <w:r w:rsidR="00FF3F50" w:rsidRPr="00B773D4">
        <w:rPr>
          <w:rStyle w:val="Pogrubienie"/>
          <w:b w:val="0"/>
          <w:bCs w:val="0"/>
        </w:rPr>
        <w:t>wykon</w:t>
      </w:r>
      <w:r w:rsidR="00FF3F50">
        <w:rPr>
          <w:rStyle w:val="Pogrubienie"/>
          <w:b w:val="0"/>
          <w:bCs w:val="0"/>
        </w:rPr>
        <w:t xml:space="preserve">ywany </w:t>
      </w:r>
      <w:r w:rsidR="00FF3F50" w:rsidRPr="00B773D4">
        <w:rPr>
          <w:rStyle w:val="Pogrubienie"/>
          <w:b w:val="0"/>
          <w:bCs w:val="0"/>
        </w:rPr>
        <w:t>jako odrębne opracowanie, będące analizą wyłącznie aspektów środowiskowych</w:t>
      </w:r>
      <w:r w:rsidR="008C15C5">
        <w:rPr>
          <w:rStyle w:val="Pogrubienie"/>
          <w:b w:val="0"/>
          <w:bCs w:val="0"/>
        </w:rPr>
        <w:t>, choć często występuje jako element TDD</w:t>
      </w:r>
      <w:r w:rsidR="00FF3F50">
        <w:rPr>
          <w:rStyle w:val="Pogrubienie"/>
          <w:b w:val="0"/>
          <w:bCs w:val="0"/>
        </w:rPr>
        <w:t>.</w:t>
      </w:r>
      <w:r w:rsidR="00FF3F50" w:rsidRPr="00FF3F50">
        <w:rPr>
          <w:rStyle w:val="Pogrubienie"/>
          <w:b w:val="0"/>
          <w:bCs w:val="0"/>
        </w:rPr>
        <w:t xml:space="preserve"> </w:t>
      </w:r>
      <w:r w:rsidR="00E44F30" w:rsidRPr="00E44F30">
        <w:rPr>
          <w:rStyle w:val="Pogrubienie"/>
          <w:b w:val="0"/>
          <w:bCs w:val="0"/>
        </w:rPr>
        <w:t xml:space="preserve">Celem audytu </w:t>
      </w:r>
      <w:r w:rsidR="00E44F30">
        <w:rPr>
          <w:rStyle w:val="Pogrubienie"/>
          <w:b w:val="0"/>
          <w:bCs w:val="0"/>
        </w:rPr>
        <w:t>EDD</w:t>
      </w:r>
      <w:r w:rsidR="00E44F30" w:rsidRPr="00E44F30">
        <w:rPr>
          <w:rStyle w:val="Pogrubienie"/>
          <w:b w:val="0"/>
          <w:bCs w:val="0"/>
        </w:rPr>
        <w:t xml:space="preserve"> jest ocena ryzyka środowiskowego </w:t>
      </w:r>
      <w:r w:rsidR="005476AE">
        <w:rPr>
          <w:rStyle w:val="Pogrubienie"/>
          <w:b w:val="0"/>
          <w:bCs w:val="0"/>
        </w:rPr>
        <w:t>planowanej</w:t>
      </w:r>
      <w:r w:rsidR="00FF3F50">
        <w:rPr>
          <w:rStyle w:val="Pogrubienie"/>
          <w:b w:val="0"/>
          <w:bCs w:val="0"/>
        </w:rPr>
        <w:t xml:space="preserve"> inwestycji</w:t>
      </w:r>
      <w:r w:rsidR="00B773D4">
        <w:rPr>
          <w:rStyle w:val="Pogrubienie"/>
          <w:b w:val="0"/>
          <w:bCs w:val="0"/>
        </w:rPr>
        <w:t xml:space="preserve">. </w:t>
      </w:r>
      <w:r w:rsidR="00FF3F50">
        <w:rPr>
          <w:rStyle w:val="Pogrubienie"/>
          <w:b w:val="0"/>
          <w:bCs w:val="0"/>
        </w:rPr>
        <w:t>S</w:t>
      </w:r>
      <w:r w:rsidR="00972DA7">
        <w:rPr>
          <w:rStyle w:val="Pogrubienie"/>
          <w:b w:val="0"/>
          <w:bCs w:val="0"/>
        </w:rPr>
        <w:t xml:space="preserve">kłada się z dwóch faz. W pierwszej </w:t>
      </w:r>
      <w:r w:rsidR="00EF2238">
        <w:rPr>
          <w:rStyle w:val="Pogrubienie"/>
          <w:b w:val="0"/>
          <w:bCs w:val="0"/>
        </w:rPr>
        <w:t>wykonuje się b</w:t>
      </w:r>
      <w:r w:rsidR="00EF2238" w:rsidRPr="00EF2238">
        <w:rPr>
          <w:rStyle w:val="Pogrubienie"/>
          <w:b w:val="0"/>
          <w:bCs w:val="0"/>
        </w:rPr>
        <w:t>adani</w:t>
      </w:r>
      <w:r w:rsidR="00EF2238">
        <w:rPr>
          <w:rStyle w:val="Pogrubienie"/>
          <w:b w:val="0"/>
          <w:bCs w:val="0"/>
        </w:rPr>
        <w:t>a</w:t>
      </w:r>
      <w:r w:rsidR="00EF2238" w:rsidRPr="00EF2238">
        <w:rPr>
          <w:rStyle w:val="Pogrubienie"/>
          <w:b w:val="0"/>
          <w:bCs w:val="0"/>
        </w:rPr>
        <w:t xml:space="preserve"> podstawowe</w:t>
      </w:r>
      <w:r w:rsidR="00EF2238">
        <w:rPr>
          <w:rStyle w:val="Pogrubienie"/>
          <w:b w:val="0"/>
          <w:bCs w:val="0"/>
        </w:rPr>
        <w:t xml:space="preserve"> – </w:t>
      </w:r>
      <w:r w:rsidR="00FF3F50">
        <w:rPr>
          <w:rStyle w:val="Pogrubienie"/>
          <w:b w:val="0"/>
          <w:bCs w:val="0"/>
        </w:rPr>
        <w:t xml:space="preserve">w </w:t>
      </w:r>
      <w:r w:rsidR="00EF2238">
        <w:rPr>
          <w:rStyle w:val="Pogrubienie"/>
          <w:b w:val="0"/>
          <w:bCs w:val="0"/>
        </w:rPr>
        <w:t xml:space="preserve">tym </w:t>
      </w:r>
      <w:r w:rsidR="00EF2238" w:rsidRPr="00EF2238">
        <w:rPr>
          <w:rStyle w:val="Pogrubienie"/>
          <w:b w:val="0"/>
          <w:bCs w:val="0"/>
        </w:rPr>
        <w:t>analiz</w:t>
      </w:r>
      <w:r w:rsidR="00EF2238">
        <w:rPr>
          <w:rStyle w:val="Pogrubienie"/>
          <w:b w:val="0"/>
          <w:bCs w:val="0"/>
        </w:rPr>
        <w:t>ę</w:t>
      </w:r>
      <w:r w:rsidR="00EF2238" w:rsidRPr="00EF2238">
        <w:rPr>
          <w:rStyle w:val="Pogrubienie"/>
          <w:b w:val="0"/>
          <w:bCs w:val="0"/>
        </w:rPr>
        <w:t xml:space="preserve"> dostępnej dokumentacji</w:t>
      </w:r>
      <w:r w:rsidR="005476AE">
        <w:rPr>
          <w:rStyle w:val="Pogrubienie"/>
          <w:b w:val="0"/>
          <w:bCs w:val="0"/>
        </w:rPr>
        <w:t>, ogólnodostępnych danych o terenie</w:t>
      </w:r>
      <w:r w:rsidR="00EF2238">
        <w:rPr>
          <w:rStyle w:val="Pogrubienie"/>
          <w:b w:val="0"/>
          <w:bCs w:val="0"/>
        </w:rPr>
        <w:t xml:space="preserve"> i </w:t>
      </w:r>
      <w:r w:rsidR="00EF2238" w:rsidRPr="00EF2238">
        <w:rPr>
          <w:rStyle w:val="Pogrubienie"/>
          <w:b w:val="0"/>
          <w:bCs w:val="0"/>
        </w:rPr>
        <w:t>wizj</w:t>
      </w:r>
      <w:r w:rsidR="00EF2238">
        <w:rPr>
          <w:rStyle w:val="Pogrubienie"/>
          <w:b w:val="0"/>
          <w:bCs w:val="0"/>
        </w:rPr>
        <w:t>ę</w:t>
      </w:r>
      <w:r w:rsidR="00EF2238" w:rsidRPr="00EF2238">
        <w:rPr>
          <w:rStyle w:val="Pogrubienie"/>
          <w:b w:val="0"/>
          <w:bCs w:val="0"/>
        </w:rPr>
        <w:t xml:space="preserve"> lokaln</w:t>
      </w:r>
      <w:r w:rsidR="00EF2238">
        <w:rPr>
          <w:rStyle w:val="Pogrubienie"/>
          <w:b w:val="0"/>
          <w:bCs w:val="0"/>
        </w:rPr>
        <w:t xml:space="preserve">ą. Faza druga obejmuje rozszerzone badanie, którego zakres </w:t>
      </w:r>
      <w:r w:rsidR="00EF2238" w:rsidRPr="00EF2238">
        <w:rPr>
          <w:rStyle w:val="Pogrubienie"/>
          <w:b w:val="0"/>
          <w:bCs w:val="0"/>
        </w:rPr>
        <w:t>jest indywidualnie dostosowany do charakteru analizowanej nieruchomości, projektowanej inwestycji oraz wymagań klienta.</w:t>
      </w:r>
    </w:p>
    <w:p w14:paraId="78FEF840" w14:textId="1473746D" w:rsidR="00822853" w:rsidRDefault="00822853" w:rsidP="00822853">
      <w:pPr>
        <w:spacing w:after="120"/>
        <w:jc w:val="both"/>
        <w:rPr>
          <w:rStyle w:val="Pogrubienie"/>
          <w:b w:val="0"/>
          <w:bCs w:val="0"/>
        </w:rPr>
      </w:pPr>
      <w:r w:rsidRPr="00412177">
        <w:rPr>
          <w:rStyle w:val="Pogrubienie"/>
          <w:b w:val="0"/>
          <w:bCs w:val="0"/>
        </w:rPr>
        <w:lastRenderedPageBreak/>
        <w:t xml:space="preserve">Podczas </w:t>
      </w:r>
      <w:r w:rsidR="00EF2238">
        <w:rPr>
          <w:rStyle w:val="Pogrubienie"/>
          <w:b w:val="0"/>
          <w:bCs w:val="0"/>
        </w:rPr>
        <w:t>EDD</w:t>
      </w:r>
      <w:r w:rsidR="00EF2238" w:rsidRPr="00412177">
        <w:rPr>
          <w:rStyle w:val="Pogrubienie"/>
          <w:b w:val="0"/>
          <w:bCs w:val="0"/>
        </w:rPr>
        <w:t xml:space="preserve"> </w:t>
      </w:r>
      <w:r w:rsidRPr="00412177">
        <w:rPr>
          <w:rStyle w:val="Pogrubienie"/>
          <w:b w:val="0"/>
          <w:bCs w:val="0"/>
        </w:rPr>
        <w:t>eksperci analizują wiele kluczowych aspektów środowiskowych</w:t>
      </w:r>
      <w:r>
        <w:rPr>
          <w:rStyle w:val="Pogrubienie"/>
          <w:b w:val="0"/>
          <w:bCs w:val="0"/>
        </w:rPr>
        <w:t>. Należą do nich m. in. o</w:t>
      </w:r>
      <w:r w:rsidRPr="00412177">
        <w:rPr>
          <w:rStyle w:val="Pogrubienie"/>
          <w:b w:val="0"/>
          <w:bCs w:val="0"/>
        </w:rPr>
        <w:t>cena wrażliwości środowiskowej obszaru inwestycji, uwzględniając</w:t>
      </w:r>
      <w:r>
        <w:rPr>
          <w:rStyle w:val="Pogrubienie"/>
          <w:b w:val="0"/>
          <w:bCs w:val="0"/>
        </w:rPr>
        <w:t>a</w:t>
      </w:r>
      <w:r w:rsidRPr="00412177">
        <w:rPr>
          <w:rStyle w:val="Pogrubienie"/>
          <w:b w:val="0"/>
          <w:bCs w:val="0"/>
        </w:rPr>
        <w:t xml:space="preserve"> takie elementy jak struktura geologiczna, warunki geotechniczne i hydrogeologiczne, wody powierzchniowe, profil terenu, szkody górnicze oraz wykorzystanie sąsiednich obszarów</w:t>
      </w:r>
      <w:r w:rsidR="005476AE">
        <w:rPr>
          <w:rStyle w:val="Pogrubienie"/>
          <w:b w:val="0"/>
          <w:bCs w:val="0"/>
        </w:rPr>
        <w:t xml:space="preserve"> oraz analizowane jest ryzyko zanieczyszczenia powierzchni ziemi</w:t>
      </w:r>
      <w:r w:rsidRPr="00412177">
        <w:rPr>
          <w:rStyle w:val="Pogrubienie"/>
          <w:b w:val="0"/>
          <w:bCs w:val="0"/>
        </w:rPr>
        <w:t xml:space="preserve">. </w:t>
      </w:r>
      <w:r w:rsidR="005476AE">
        <w:rPr>
          <w:rStyle w:val="Pogrubienie"/>
          <w:b w:val="0"/>
          <w:bCs w:val="0"/>
        </w:rPr>
        <w:t xml:space="preserve">W przypadku stwierdzenia ryzyka wystąpienia zanieczyszczenia w drugiej fazie </w:t>
      </w:r>
      <w:r w:rsidR="00926F40">
        <w:rPr>
          <w:rStyle w:val="Pogrubienie"/>
          <w:b w:val="0"/>
          <w:bCs w:val="0"/>
        </w:rPr>
        <w:t xml:space="preserve">przeprowadzane jest </w:t>
      </w:r>
      <w:r>
        <w:rPr>
          <w:rStyle w:val="Pogrubienie"/>
          <w:b w:val="0"/>
          <w:bCs w:val="0"/>
        </w:rPr>
        <w:t>b</w:t>
      </w:r>
      <w:r w:rsidRPr="00412177">
        <w:rPr>
          <w:rStyle w:val="Pogrubienie"/>
          <w:b w:val="0"/>
          <w:bCs w:val="0"/>
        </w:rPr>
        <w:t xml:space="preserve">adanie zanieczyszczenia </w:t>
      </w:r>
      <w:r w:rsidR="008C15C5">
        <w:rPr>
          <w:rStyle w:val="Pogrubienie"/>
          <w:b w:val="0"/>
          <w:bCs w:val="0"/>
        </w:rPr>
        <w:t>powierzchni terenu</w:t>
      </w:r>
      <w:r w:rsidRPr="00412177">
        <w:rPr>
          <w:rStyle w:val="Pogrubienie"/>
          <w:b w:val="0"/>
          <w:bCs w:val="0"/>
        </w:rPr>
        <w:t>, które pozwala zidentyfikować ewentualne zanieczyszczenia obecne na terenie inwestycji oraz określić ich skutki dla planowane</w:t>
      </w:r>
      <w:r w:rsidR="005476AE">
        <w:rPr>
          <w:rStyle w:val="Pogrubienie"/>
          <w:b w:val="0"/>
          <w:bCs w:val="0"/>
        </w:rPr>
        <w:t>j realizacji inwestycji</w:t>
      </w:r>
      <w:r w:rsidRPr="00412177">
        <w:rPr>
          <w:rStyle w:val="Pogrubienie"/>
          <w:b w:val="0"/>
          <w:bCs w:val="0"/>
        </w:rPr>
        <w:t>.</w:t>
      </w:r>
      <w:r>
        <w:rPr>
          <w:rStyle w:val="Pogrubienie"/>
          <w:b w:val="0"/>
          <w:bCs w:val="0"/>
        </w:rPr>
        <w:t xml:space="preserve"> </w:t>
      </w:r>
    </w:p>
    <w:p w14:paraId="68869526" w14:textId="0E002D01" w:rsidR="00822853" w:rsidRPr="00412177" w:rsidRDefault="00822853" w:rsidP="00822853">
      <w:pPr>
        <w:spacing w:after="120"/>
        <w:jc w:val="both"/>
        <w:rPr>
          <w:rStyle w:val="Pogrubienie"/>
          <w:b w:val="0"/>
          <w:bCs w:val="0"/>
        </w:rPr>
      </w:pPr>
      <w:r>
        <w:rPr>
          <w:rStyle w:val="Pogrubienie"/>
          <w:b w:val="0"/>
          <w:bCs w:val="0"/>
        </w:rPr>
        <w:t>Na etapie wyboru lokalizacji istotna jest także i</w:t>
      </w:r>
      <w:r w:rsidRPr="00412177">
        <w:rPr>
          <w:rStyle w:val="Pogrubienie"/>
          <w:b w:val="0"/>
          <w:bCs w:val="0"/>
        </w:rPr>
        <w:t xml:space="preserve">dentyfikacja obszarów chronionych, które mogą znajdować się na terenie inwestycji lub w najbliższej okolicy. </w:t>
      </w:r>
      <w:r>
        <w:rPr>
          <w:rStyle w:val="Pogrubienie"/>
          <w:b w:val="0"/>
          <w:bCs w:val="0"/>
        </w:rPr>
        <w:t>– T</w:t>
      </w:r>
      <w:r w:rsidRPr="00412177">
        <w:rPr>
          <w:rStyle w:val="Pogrubienie"/>
          <w:b w:val="0"/>
          <w:bCs w:val="0"/>
        </w:rPr>
        <w:t>ereny objęte formami ochrony przyrody lub ochrony konserwatorskiej mogą wpłynąć na zakres i możliwość realizacji projektu.</w:t>
      </w:r>
      <w:r>
        <w:rPr>
          <w:rStyle w:val="Pogrubienie"/>
          <w:b w:val="0"/>
          <w:bCs w:val="0"/>
        </w:rPr>
        <w:t xml:space="preserve"> Z kolei a</w:t>
      </w:r>
      <w:r w:rsidRPr="00412177">
        <w:rPr>
          <w:rStyle w:val="Pogrubienie"/>
          <w:b w:val="0"/>
          <w:bCs w:val="0"/>
        </w:rPr>
        <w:t>naliza ryzyka wystąpienia zanieczyszczeń</w:t>
      </w:r>
      <w:r>
        <w:rPr>
          <w:rStyle w:val="Pogrubienie"/>
          <w:b w:val="0"/>
          <w:bCs w:val="0"/>
        </w:rPr>
        <w:t>,</w:t>
      </w:r>
      <w:r w:rsidRPr="00412177">
        <w:rPr>
          <w:rStyle w:val="Pogrubienie"/>
          <w:b w:val="0"/>
          <w:bCs w:val="0"/>
        </w:rPr>
        <w:t xml:space="preserve"> pozwala inwestorom podejmować</w:t>
      </w:r>
      <w:r w:rsidR="00C34AD0">
        <w:rPr>
          <w:rStyle w:val="Pogrubienie"/>
          <w:b w:val="0"/>
          <w:bCs w:val="0"/>
        </w:rPr>
        <w:t xml:space="preserve"> bardziej świadomą decyzję o zakupie terenu</w:t>
      </w:r>
      <w:r w:rsidR="00FF3F50">
        <w:rPr>
          <w:rStyle w:val="Pogrubienie"/>
          <w:b w:val="0"/>
          <w:bCs w:val="0"/>
        </w:rPr>
        <w:t>,</w:t>
      </w:r>
      <w:r w:rsidR="00C34AD0">
        <w:rPr>
          <w:rStyle w:val="Pogrubienie"/>
          <w:b w:val="0"/>
          <w:bCs w:val="0"/>
        </w:rPr>
        <w:t xml:space="preserve"> uwzględni</w:t>
      </w:r>
      <w:r w:rsidR="001B6C80">
        <w:rPr>
          <w:rStyle w:val="Pogrubienie"/>
          <w:b w:val="0"/>
          <w:bCs w:val="0"/>
        </w:rPr>
        <w:t xml:space="preserve">ając </w:t>
      </w:r>
      <w:r w:rsidR="00C34AD0">
        <w:rPr>
          <w:rStyle w:val="Pogrubienie"/>
          <w:b w:val="0"/>
          <w:bCs w:val="0"/>
        </w:rPr>
        <w:t xml:space="preserve">ewentualne koszty </w:t>
      </w:r>
      <w:proofErr w:type="spellStart"/>
      <w:r w:rsidR="00C34AD0">
        <w:rPr>
          <w:rStyle w:val="Pogrubienie"/>
          <w:b w:val="0"/>
          <w:bCs w:val="0"/>
        </w:rPr>
        <w:t>remediacji</w:t>
      </w:r>
      <w:proofErr w:type="spellEnd"/>
      <w:r w:rsidRPr="00412177">
        <w:rPr>
          <w:rStyle w:val="Pogrubienie"/>
          <w:b w:val="0"/>
          <w:bCs w:val="0"/>
        </w:rPr>
        <w:t xml:space="preserve"> </w:t>
      </w:r>
      <w:r w:rsidR="00C34AD0">
        <w:rPr>
          <w:rStyle w:val="Pogrubienie"/>
          <w:b w:val="0"/>
          <w:bCs w:val="0"/>
        </w:rPr>
        <w:t xml:space="preserve">w budżecie </w:t>
      </w:r>
      <w:r>
        <w:rPr>
          <w:rStyle w:val="Pogrubienie"/>
          <w:b w:val="0"/>
          <w:bCs w:val="0"/>
        </w:rPr>
        <w:t xml:space="preserve">– wyjaśnia </w:t>
      </w:r>
      <w:r w:rsidRPr="0013013E">
        <w:t>Kaja Sawicka</w:t>
      </w:r>
      <w:r w:rsidR="00AC38BB">
        <w:t>.</w:t>
      </w:r>
    </w:p>
    <w:p w14:paraId="4D41327B" w14:textId="2337F78D" w:rsidR="00C34AD0" w:rsidRDefault="00822853" w:rsidP="00822853">
      <w:pPr>
        <w:spacing w:after="120"/>
        <w:jc w:val="both"/>
        <w:rPr>
          <w:rStyle w:val="Pogrubienie"/>
          <w:b w:val="0"/>
          <w:bCs w:val="0"/>
        </w:rPr>
      </w:pPr>
      <w:r>
        <w:rPr>
          <w:rStyle w:val="Pogrubienie"/>
          <w:b w:val="0"/>
          <w:bCs w:val="0"/>
        </w:rPr>
        <w:t xml:space="preserve">Wiedza na temat tego, czy dany </w:t>
      </w:r>
      <w:r w:rsidRPr="00412177">
        <w:rPr>
          <w:rStyle w:val="Pogrubienie"/>
          <w:b w:val="0"/>
          <w:bCs w:val="0"/>
        </w:rPr>
        <w:t>teren spełnia wymagania techniczne i środowiskowe dla planowanego przedsięwzięcia</w:t>
      </w:r>
      <w:r>
        <w:rPr>
          <w:rStyle w:val="Pogrubienie"/>
          <w:b w:val="0"/>
          <w:bCs w:val="0"/>
        </w:rPr>
        <w:t xml:space="preserve">, pozwala inwestorowi ocenić, czy w ogóle istnieje na nim </w:t>
      </w:r>
      <w:r w:rsidRPr="00412177">
        <w:rPr>
          <w:rStyle w:val="Pogrubienie"/>
          <w:b w:val="0"/>
          <w:bCs w:val="0"/>
        </w:rPr>
        <w:t>możliwoś</w:t>
      </w:r>
      <w:r>
        <w:rPr>
          <w:rStyle w:val="Pogrubienie"/>
          <w:b w:val="0"/>
          <w:bCs w:val="0"/>
        </w:rPr>
        <w:t>ć</w:t>
      </w:r>
      <w:r w:rsidRPr="00412177">
        <w:rPr>
          <w:rStyle w:val="Pogrubienie"/>
          <w:b w:val="0"/>
          <w:bCs w:val="0"/>
        </w:rPr>
        <w:t xml:space="preserve"> realizacji inwestycji o określon</w:t>
      </w:r>
      <w:r w:rsidR="00926F40">
        <w:rPr>
          <w:rStyle w:val="Pogrubienie"/>
          <w:b w:val="0"/>
          <w:bCs w:val="0"/>
        </w:rPr>
        <w:t>ym</w:t>
      </w:r>
      <w:r w:rsidRPr="00412177">
        <w:rPr>
          <w:rStyle w:val="Pogrubienie"/>
          <w:b w:val="0"/>
          <w:bCs w:val="0"/>
        </w:rPr>
        <w:t xml:space="preserve"> charakte</w:t>
      </w:r>
      <w:r w:rsidR="00926F40">
        <w:rPr>
          <w:rStyle w:val="Pogrubienie"/>
          <w:b w:val="0"/>
          <w:bCs w:val="0"/>
        </w:rPr>
        <w:t>rze</w:t>
      </w:r>
      <w:r>
        <w:rPr>
          <w:rStyle w:val="Pogrubienie"/>
          <w:b w:val="0"/>
          <w:bCs w:val="0"/>
        </w:rPr>
        <w:t>.</w:t>
      </w:r>
      <w:r w:rsidR="00C34AD0">
        <w:rPr>
          <w:rStyle w:val="Pogrubienie"/>
          <w:b w:val="0"/>
          <w:bCs w:val="0"/>
        </w:rPr>
        <w:t xml:space="preserve"> W ramach audytu EDD wskazywane są również rekomendacje w zakresie przeprowadzenia dodatkowych ekspertyz i analiz</w:t>
      </w:r>
      <w:r w:rsidR="00D80821">
        <w:rPr>
          <w:rStyle w:val="Pogrubienie"/>
          <w:b w:val="0"/>
          <w:bCs w:val="0"/>
        </w:rPr>
        <w:t>.</w:t>
      </w:r>
    </w:p>
    <w:p w14:paraId="346C64FC" w14:textId="1357D99E" w:rsidR="001B6C80" w:rsidRPr="00412177" w:rsidRDefault="001B6C80" w:rsidP="001B6C80">
      <w:pPr>
        <w:jc w:val="both"/>
        <w:rPr>
          <w:rStyle w:val="Pogrubienie"/>
          <w:b w:val="0"/>
          <w:bCs w:val="0"/>
        </w:rPr>
      </w:pPr>
      <w:r w:rsidRPr="00EF2238">
        <w:rPr>
          <w:rStyle w:val="Pogrubienie"/>
          <w:b w:val="0"/>
        </w:rPr>
        <w:t>Na podstawie TDD</w:t>
      </w:r>
      <w:r>
        <w:rPr>
          <w:rStyle w:val="Pogrubienie"/>
          <w:b w:val="0"/>
        </w:rPr>
        <w:t xml:space="preserve"> oraz audytu</w:t>
      </w:r>
      <w:r w:rsidRPr="00EF2238">
        <w:rPr>
          <w:rStyle w:val="Pogrubienie"/>
          <w:b w:val="0"/>
        </w:rPr>
        <w:t xml:space="preserve"> </w:t>
      </w:r>
      <w:proofErr w:type="spellStart"/>
      <w:r w:rsidRPr="00B773D4">
        <w:rPr>
          <w:rStyle w:val="Pogrubienie"/>
          <w:b w:val="0"/>
        </w:rPr>
        <w:t>Environmental</w:t>
      </w:r>
      <w:proofErr w:type="spellEnd"/>
      <w:r w:rsidRPr="00B773D4">
        <w:rPr>
          <w:rStyle w:val="Pogrubienie"/>
          <w:b w:val="0"/>
        </w:rPr>
        <w:t xml:space="preserve"> </w:t>
      </w:r>
      <w:proofErr w:type="spellStart"/>
      <w:r w:rsidRPr="00B773D4">
        <w:rPr>
          <w:rStyle w:val="Pogrubienie"/>
          <w:b w:val="0"/>
        </w:rPr>
        <w:t>Due</w:t>
      </w:r>
      <w:proofErr w:type="spellEnd"/>
      <w:r w:rsidRPr="00B773D4">
        <w:rPr>
          <w:rStyle w:val="Pogrubienie"/>
          <w:b w:val="0"/>
        </w:rPr>
        <w:t xml:space="preserve"> </w:t>
      </w:r>
      <w:proofErr w:type="spellStart"/>
      <w:r w:rsidRPr="00B773D4">
        <w:rPr>
          <w:rStyle w:val="Pogrubienie"/>
          <w:b w:val="0"/>
        </w:rPr>
        <w:t>Diligence</w:t>
      </w:r>
      <w:proofErr w:type="spellEnd"/>
      <w:r>
        <w:rPr>
          <w:rStyle w:val="Pogrubienie"/>
          <w:b w:val="0"/>
        </w:rPr>
        <w:t xml:space="preserve">, </w:t>
      </w:r>
      <w:r w:rsidRPr="00EF2238">
        <w:rPr>
          <w:rStyle w:val="Pogrubienie"/>
          <w:b w:val="0"/>
        </w:rPr>
        <w:t>możliwe jest opracowanie wstępnej koncepcji zagospodarowania terenu</w:t>
      </w:r>
      <w:r>
        <w:rPr>
          <w:rStyle w:val="Pogrubienie"/>
          <w:b w:val="0"/>
        </w:rPr>
        <w:t>, określenie koniecznych do uzyskania uzgodnień czy decyzji, jak np. decyzji o środowiskowych uwarunkowaniach,</w:t>
      </w:r>
      <w:r w:rsidRPr="00EF2238">
        <w:rPr>
          <w:rStyle w:val="Pogrubienie"/>
          <w:b w:val="0"/>
        </w:rPr>
        <w:t xml:space="preserve"> sporządzenie wstępnej wyceny kosztów budowy oraz harmonogramu realizacji przedsięwzięcia. </w:t>
      </w:r>
      <w:r>
        <w:rPr>
          <w:rStyle w:val="Pogrubienie"/>
          <w:b w:val="0"/>
        </w:rPr>
        <w:t xml:space="preserve">– </w:t>
      </w:r>
      <w:r w:rsidRPr="00EF2238">
        <w:rPr>
          <w:rStyle w:val="Pogrubienie"/>
          <w:b w:val="0"/>
        </w:rPr>
        <w:t xml:space="preserve">Co więcej, na życzenie inwestora, w jego imieniu składamy wnioski o uzyskanie wstępnych warunków przyłączenia mediów do gestorów sieci. Wszystko to pozwala na odpowiednie przygotowanie się do procesu inwestycyjnego i uniknięcie nieoczekiwanych kosztów – </w:t>
      </w:r>
      <w:r>
        <w:rPr>
          <w:rStyle w:val="Pogrubienie"/>
          <w:b w:val="0"/>
        </w:rPr>
        <w:t>tłumaczy ekspertka</w:t>
      </w:r>
      <w:r w:rsidRPr="00EF2238">
        <w:rPr>
          <w:rStyle w:val="Pogrubienie"/>
          <w:b w:val="0"/>
        </w:rPr>
        <w:t>.</w:t>
      </w:r>
    </w:p>
    <w:p w14:paraId="18D9EDE3" w14:textId="7C4C1E85" w:rsidR="00822853" w:rsidRPr="000B09A5" w:rsidRDefault="00822853" w:rsidP="00822853">
      <w:pPr>
        <w:pStyle w:val="Nagwek2"/>
        <w:rPr>
          <w:rStyle w:val="Pogrubienie"/>
          <w:b w:val="0"/>
          <w:bCs/>
        </w:rPr>
      </w:pPr>
      <w:bookmarkStart w:id="0" w:name="_Hlk141341540"/>
      <w:r w:rsidRPr="000B09A5">
        <w:rPr>
          <w:rStyle w:val="Pogrubienie"/>
          <w:b w:val="0"/>
          <w:bCs/>
        </w:rPr>
        <w:t xml:space="preserve">Analiza aspektów prawnych – </w:t>
      </w:r>
      <w:proofErr w:type="spellStart"/>
      <w:r w:rsidRPr="000B09A5">
        <w:rPr>
          <w:rStyle w:val="Pogrubienie"/>
          <w:b w:val="0"/>
          <w:bCs/>
        </w:rPr>
        <w:t>Legal</w:t>
      </w:r>
      <w:proofErr w:type="spellEnd"/>
      <w:r w:rsidRPr="000B09A5">
        <w:rPr>
          <w:rStyle w:val="Pogrubienie"/>
          <w:b w:val="0"/>
          <w:bCs/>
        </w:rPr>
        <w:t xml:space="preserve"> </w:t>
      </w:r>
      <w:proofErr w:type="spellStart"/>
      <w:r w:rsidRPr="000B09A5">
        <w:rPr>
          <w:rStyle w:val="Pogrubienie"/>
          <w:b w:val="0"/>
          <w:bCs/>
        </w:rPr>
        <w:t>Due</w:t>
      </w:r>
      <w:proofErr w:type="spellEnd"/>
      <w:r w:rsidRPr="000B09A5">
        <w:rPr>
          <w:rStyle w:val="Pogrubienie"/>
          <w:b w:val="0"/>
          <w:bCs/>
        </w:rPr>
        <w:t xml:space="preserve"> </w:t>
      </w:r>
      <w:proofErr w:type="spellStart"/>
      <w:r w:rsidRPr="000B09A5">
        <w:rPr>
          <w:rStyle w:val="Pogrubienie"/>
          <w:b w:val="0"/>
          <w:bCs/>
        </w:rPr>
        <w:t>Diligence</w:t>
      </w:r>
      <w:proofErr w:type="spellEnd"/>
      <w:r w:rsidR="00FF3F50">
        <w:rPr>
          <w:rStyle w:val="Pogrubienie"/>
          <w:b w:val="0"/>
          <w:bCs/>
        </w:rPr>
        <w:t xml:space="preserve"> (LDD)</w:t>
      </w:r>
    </w:p>
    <w:p w14:paraId="5FA81360" w14:textId="43BBC943" w:rsidR="00FD7E07" w:rsidRDefault="00FD7E07" w:rsidP="00FD7E07">
      <w:pPr>
        <w:spacing w:after="120"/>
        <w:jc w:val="both"/>
      </w:pPr>
      <w:r>
        <w:t xml:space="preserve">Audyt prawny nieruchomości gruntowej </w:t>
      </w:r>
      <w:r w:rsidR="00EF2238">
        <w:t>umożliwia</w:t>
      </w:r>
      <w:r>
        <w:t xml:space="preserve"> inwestorom </w:t>
      </w:r>
      <w:r w:rsidR="008C15C5">
        <w:t xml:space="preserve">na </w:t>
      </w:r>
      <w:r>
        <w:t xml:space="preserve">pełne zrozumienie i ocenę </w:t>
      </w:r>
      <w:proofErr w:type="spellStart"/>
      <w:r>
        <w:t>ryzyk</w:t>
      </w:r>
      <w:proofErr w:type="spellEnd"/>
      <w:r>
        <w:t xml:space="preserve"> prawnych związanych z planowaną inwestycją. Pozwala podjąć </w:t>
      </w:r>
      <w:r w:rsidR="008C15C5">
        <w:t xml:space="preserve">świadomą </w:t>
      </w:r>
      <w:r>
        <w:t xml:space="preserve">decyzję w sprawie realizacji inwestycji na nieruchomości, zaplanować w realny sposób </w:t>
      </w:r>
      <w:r w:rsidR="001B6C80">
        <w:t xml:space="preserve">jej przebieg </w:t>
      </w:r>
      <w:r>
        <w:t xml:space="preserve">i koszty z nią związane oraz uniknąć potencjalnych problemów prawnych, w tym roszczeń osób trzecich, które mogą wpłynąć na realizację projektu. </w:t>
      </w:r>
    </w:p>
    <w:p w14:paraId="4DFC2211" w14:textId="54268C88" w:rsidR="00FD7E07" w:rsidRDefault="00FD7E07" w:rsidP="00FD7E07">
      <w:pPr>
        <w:spacing w:after="120"/>
        <w:jc w:val="both"/>
      </w:pPr>
      <w:r>
        <w:t xml:space="preserve">W ramach </w:t>
      </w:r>
      <w:proofErr w:type="spellStart"/>
      <w:r>
        <w:t>Legal</w:t>
      </w:r>
      <w:proofErr w:type="spellEnd"/>
      <w:r>
        <w:t xml:space="preserve"> </w:t>
      </w:r>
      <w:proofErr w:type="spellStart"/>
      <w:r>
        <w:t>Due</w:t>
      </w:r>
      <w:proofErr w:type="spellEnd"/>
      <w:r>
        <w:t xml:space="preserve"> </w:t>
      </w:r>
      <w:proofErr w:type="spellStart"/>
      <w:r>
        <w:t>Diligence</w:t>
      </w:r>
      <w:proofErr w:type="spellEnd"/>
      <w:r>
        <w:t xml:space="preserve"> zawsze ustalany jest stan prawny nieruchomości oraz wynikający z dokumentów stan faktyczny. Ustalenia dotyczą przede wszystkim praw do nieruchomości, w tym do rozporządzania nią, praw i roszczeń osób trzecich, ograniczeń </w:t>
      </w:r>
      <w:r w:rsidR="00EF2238">
        <w:t>w</w:t>
      </w:r>
      <w:r>
        <w:t xml:space="preserve"> rozporządzaniu i zakresu tych ograniczeń, istniejących hipotek.  Ustalenia są weryfikowane z dokumentami stanowiącymi podstawy wpisów do ksiąg wieczystych, ewidencji i rejestrów. </w:t>
      </w:r>
    </w:p>
    <w:p w14:paraId="5CB3B7FF" w14:textId="2231CE74" w:rsidR="00FD7E07" w:rsidRDefault="00FD7E07" w:rsidP="00FD7E07">
      <w:pPr>
        <w:spacing w:after="120"/>
        <w:jc w:val="both"/>
      </w:pPr>
      <w:r>
        <w:t>W zależności od modelu planowanej inwestycji</w:t>
      </w:r>
      <w:r w:rsidR="00EF2238">
        <w:t>,</w:t>
      </w:r>
      <w:r>
        <w:t xml:space="preserve"> badaniu podlegają długoterminowe umowy</w:t>
      </w:r>
      <w:r w:rsidR="00EF2238">
        <w:t>,</w:t>
      </w:r>
      <w:r>
        <w:t xml:space="preserve"> dające podstawę korzystania z nieruchomości oraz istniejące możliwości udostępniania nieruchomości lub jej części do korzystania Inwestorowi. Zakresy badania w konkretnych sprawach mogą w pewnym zakresie </w:t>
      </w:r>
      <w:r>
        <w:lastRenderedPageBreak/>
        <w:t xml:space="preserve">być różne, w zależności od charakteru inwestycji, rodzaju nieruchomości a także od potrzeb </w:t>
      </w:r>
      <w:r w:rsidR="001B6C80">
        <w:t>i</w:t>
      </w:r>
      <w:r>
        <w:t xml:space="preserve">nwestora oraz od dokonanych ustaleń, które determinują kolejne etapy badania. </w:t>
      </w:r>
    </w:p>
    <w:p w14:paraId="60A3460F" w14:textId="37CB2A13" w:rsidR="00822853" w:rsidRDefault="00FD7E07" w:rsidP="00FD7E07">
      <w:pPr>
        <w:spacing w:after="120"/>
        <w:jc w:val="both"/>
      </w:pPr>
      <w:r>
        <w:t xml:space="preserve">A co w przypadku, gdy pojawią się problemy? – Uważamy, że problemów nie należy traktować jako dyskwalifikacji możliwości realizacji inwestycji na nieruchomości. Każdy problem wymaga szczegółowej identyfikacji, dotarcia do jego źródła, rozważenia możliwości jego usunięcia lub zminimalizowania jego skutków, zaproponowania działań, określenia ich </w:t>
      </w:r>
      <w:proofErr w:type="spellStart"/>
      <w:r>
        <w:t>ryzyk</w:t>
      </w:r>
      <w:proofErr w:type="spellEnd"/>
      <w:r>
        <w:t xml:space="preserve">. Dopiero przedstawienie wariantów działań pozwoli inwestorowi na podjęcie decyzji w zakresie realizacji projektu na nieruchomości. </w:t>
      </w:r>
      <w:r w:rsidR="00EF2238">
        <w:t>–</w:t>
      </w:r>
      <w:r>
        <w:t xml:space="preserve"> uspokaja Kaja Sawicka, </w:t>
      </w:r>
      <w:proofErr w:type="spellStart"/>
      <w:r>
        <w:t>Head</w:t>
      </w:r>
      <w:proofErr w:type="spellEnd"/>
      <w:r>
        <w:t xml:space="preserve"> of PM </w:t>
      </w:r>
      <w:proofErr w:type="spellStart"/>
      <w:r>
        <w:t>Predevelopment</w:t>
      </w:r>
      <w:proofErr w:type="spellEnd"/>
      <w:r>
        <w:t xml:space="preserve"> w Project Management. </w:t>
      </w:r>
      <w:r w:rsidR="00EF2238">
        <w:t>– Wymienione</w:t>
      </w:r>
      <w:r>
        <w:t xml:space="preserve"> czynności realizowane są jednak w przeważającym zakresie przez radcę prawnego z Kancelarii Prawnej, z którą od wielu lat współpracujemy i która specjalizuje się w świadczeniu takiej i dużo szerszej pomocy bezpośrednio na rzecz </w:t>
      </w:r>
      <w:r w:rsidR="001B6C80">
        <w:t>i</w:t>
      </w:r>
      <w:r>
        <w:t xml:space="preserve">nwestorów, bo obejmującej również kwestie podatkowe i ewentualne preferencje publicznoprawne związane z planowaną inwestycją </w:t>
      </w:r>
      <w:r w:rsidR="00EF2238">
        <w:t>– dodaje.</w:t>
      </w:r>
    </w:p>
    <w:bookmarkEnd w:id="0"/>
    <w:p w14:paraId="1EBE03B5" w14:textId="3431399F" w:rsidR="00822853" w:rsidRDefault="00822853" w:rsidP="00822853">
      <w:pPr>
        <w:pStyle w:val="Nagwek2"/>
      </w:pPr>
      <w:r>
        <w:t>Audyty = g</w:t>
      </w:r>
      <w:r w:rsidRPr="000B09A5">
        <w:t>warancja trafnych decyzji biznesowych</w:t>
      </w:r>
    </w:p>
    <w:p w14:paraId="3910C84F" w14:textId="09F316F6" w:rsidR="000069D6" w:rsidRDefault="00822853" w:rsidP="00822853">
      <w:pPr>
        <w:jc w:val="both"/>
      </w:pPr>
      <w:r>
        <w:t>Wszystkie wymienione audyty</w:t>
      </w:r>
      <w:r w:rsidRPr="00FB4939">
        <w:t xml:space="preserve"> to niezwykle ważne narzędzi</w:t>
      </w:r>
      <w:r>
        <w:t>a</w:t>
      </w:r>
      <w:r w:rsidRPr="00FB4939">
        <w:t xml:space="preserve"> w przypadku wyboru lokalizacji inwestycji budowlanej. Dzięki ni</w:t>
      </w:r>
      <w:r>
        <w:t>m</w:t>
      </w:r>
      <w:r w:rsidRPr="00FB4939">
        <w:t xml:space="preserve"> inwestorzy mają pewność, że podejmują najlepsze decyzje</w:t>
      </w:r>
      <w:r>
        <w:t xml:space="preserve"> biznesowe</w:t>
      </w:r>
      <w:r w:rsidRPr="00FB4939">
        <w:t xml:space="preserve">, uwzględniające wszystkie ważne aspekty projektu. </w:t>
      </w:r>
      <w:r>
        <w:t xml:space="preserve">Warto przy tym wiedzieć, że </w:t>
      </w:r>
      <w:r w:rsidRPr="00C572F4">
        <w:t>wykonanie audytów nie wiąże się z wysokimi kosztami oraz nie wymaga posiadania prawa do terenu</w:t>
      </w:r>
      <w:r>
        <w:t>. Co więcej,</w:t>
      </w:r>
      <w:r w:rsidRPr="00C572F4">
        <w:t xml:space="preserve"> dużą część analiz wykonywanych w ramach tych audytów można przeprowadzić bez uzyskiwania zgody właściciela oraz ingerencji w teren.</w:t>
      </w:r>
      <w:r w:rsidR="000069D6">
        <w:t xml:space="preserve"> </w:t>
      </w:r>
      <w:r>
        <w:t>Kluczowy jest przy tym w</w:t>
      </w:r>
      <w:r w:rsidRPr="00FB4939">
        <w:t>ybór odpowiedniego</w:t>
      </w:r>
      <w:r>
        <w:t xml:space="preserve">, doświadczonego </w:t>
      </w:r>
      <w:r w:rsidRPr="00FB4939">
        <w:t>zespołu audytorskiego, ponieważ</w:t>
      </w:r>
      <w:r>
        <w:t xml:space="preserve"> </w:t>
      </w:r>
      <w:r w:rsidRPr="003E1F09">
        <w:t>od</w:t>
      </w:r>
      <w:r w:rsidR="000069D6">
        <w:t xml:space="preserve"> jego</w:t>
      </w:r>
      <w:r w:rsidRPr="003E1F09">
        <w:t xml:space="preserve"> wiedzy i profesjonalizmu zależy kompleksowość analizy i rzetelność wyników.</w:t>
      </w:r>
      <w:r>
        <w:t xml:space="preserve"> </w:t>
      </w:r>
    </w:p>
    <w:p w14:paraId="0A9A075C" w14:textId="458923CF" w:rsidR="00822853" w:rsidRPr="00604B29" w:rsidRDefault="00822853" w:rsidP="00822853">
      <w:pPr>
        <w:jc w:val="both"/>
      </w:pPr>
      <w:r w:rsidRPr="003E1F09">
        <w:t>Dobrze wykwalifikowani eksperci pomogą zidentyfikować potencjalne ryzyka i wyzwania, a także</w:t>
      </w:r>
      <w:r w:rsidR="000069D6">
        <w:t xml:space="preserve"> –</w:t>
      </w:r>
      <w:r>
        <w:t xml:space="preserve"> w opracowanym na podstawie audytu szczegółowym raporcie</w:t>
      </w:r>
      <w:r w:rsidR="000069D6">
        <w:t xml:space="preserve"> –</w:t>
      </w:r>
      <w:r>
        <w:t xml:space="preserve"> </w:t>
      </w:r>
      <w:r w:rsidRPr="003E1F09">
        <w:t>wska</w:t>
      </w:r>
      <w:r>
        <w:t>żą</w:t>
      </w:r>
      <w:r w:rsidRPr="003E1F09">
        <w:t xml:space="preserve"> optymalne rozwiązania</w:t>
      </w:r>
      <w:r>
        <w:t>, pozwalające na o</w:t>
      </w:r>
      <w:r w:rsidRPr="001534E5">
        <w:t>szczędnoś</w:t>
      </w:r>
      <w:r>
        <w:t>ć</w:t>
      </w:r>
      <w:r w:rsidRPr="001534E5">
        <w:t xml:space="preserve"> czasu i środków</w:t>
      </w:r>
      <w:r w:rsidRPr="003E1F09">
        <w:t xml:space="preserve">. W rezultacie inwestorzy </w:t>
      </w:r>
      <w:r>
        <w:t xml:space="preserve">zyskają </w:t>
      </w:r>
      <w:r w:rsidRPr="003E1F09">
        <w:t>pełną klarowność w sprawie wyboru najlepszej lokalizacji dla swojej inwestycji budowlanej</w:t>
      </w:r>
      <w:r w:rsidRPr="001534E5">
        <w:t xml:space="preserve">. </w:t>
      </w:r>
    </w:p>
    <w:p w14:paraId="77910363" w14:textId="77777777" w:rsidR="00F428BE" w:rsidRPr="00A770B7" w:rsidRDefault="00F428BE" w:rsidP="00A770B7">
      <w:pPr>
        <w:jc w:val="both"/>
        <w:rPr>
          <w:rFonts w:ascii="Times New Roman" w:hAnsi="Times New Roman" w:cs="Times New Roman"/>
        </w:rPr>
      </w:pPr>
    </w:p>
    <w:sectPr w:rsidR="00F428BE" w:rsidRPr="00A770B7" w:rsidSect="00E10292">
      <w:headerReference w:type="even" r:id="rId11"/>
      <w:headerReference w:type="default" r:id="rId12"/>
      <w:footerReference w:type="even" r:id="rId13"/>
      <w:footerReference w:type="default" r:id="rId14"/>
      <w:headerReference w:type="first" r:id="rId15"/>
      <w:footerReference w:type="first" r:id="rId16"/>
      <w:pgSz w:w="11906" w:h="16838"/>
      <w:pgMar w:top="1560" w:right="1417" w:bottom="1417" w:left="1417" w:header="708"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ADCFA" w14:textId="77777777" w:rsidR="004479A9" w:rsidRDefault="004479A9" w:rsidP="00C9428A">
      <w:pPr>
        <w:spacing w:after="0" w:line="240" w:lineRule="auto"/>
      </w:pPr>
      <w:r>
        <w:separator/>
      </w:r>
    </w:p>
  </w:endnote>
  <w:endnote w:type="continuationSeparator" w:id="0">
    <w:p w14:paraId="686E60F9" w14:textId="77777777" w:rsidR="004479A9" w:rsidRDefault="004479A9" w:rsidP="00C9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BBA4" w14:textId="77777777" w:rsidR="00485E9C" w:rsidRDefault="00485E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041A" w14:textId="77777777" w:rsidR="00485E9C" w:rsidRDefault="00485E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5101" w14:textId="77777777" w:rsidR="00485E9C" w:rsidRDefault="00485E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BF88A" w14:textId="77777777" w:rsidR="004479A9" w:rsidRDefault="004479A9" w:rsidP="00C9428A">
      <w:pPr>
        <w:spacing w:after="0" w:line="240" w:lineRule="auto"/>
      </w:pPr>
      <w:r>
        <w:separator/>
      </w:r>
    </w:p>
  </w:footnote>
  <w:footnote w:type="continuationSeparator" w:id="0">
    <w:p w14:paraId="76FF9222" w14:textId="77777777" w:rsidR="004479A9" w:rsidRDefault="004479A9" w:rsidP="00C9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B52A" w14:textId="77777777" w:rsidR="00C9428A" w:rsidRDefault="00000000">
    <w:pPr>
      <w:pStyle w:val="Nagwek"/>
    </w:pPr>
    <w:r>
      <w:rPr>
        <w:noProof/>
        <w:lang w:eastAsia="pl-PL"/>
      </w:rPr>
      <w:pict w14:anchorId="213864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16276" o:spid="_x0000_s1032" type="#_x0000_t75" style="position:absolute;margin-left:0;margin-top:0;width:595.2pt;height:841.9pt;z-index:-251657216;mso-position-horizontal:center;mso-position-horizontal-relative:margin;mso-position-vertical:center;mso-position-vertical-relative:margin" o:allowincell="f">
          <v:imagedata r:id="rId1" o:title="PMG_papier firmowy a4_20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4E76" w14:textId="77777777" w:rsidR="00C9428A" w:rsidRDefault="00000000">
    <w:pPr>
      <w:pStyle w:val="Nagwek"/>
    </w:pPr>
    <w:r>
      <w:rPr>
        <w:noProof/>
        <w:lang w:eastAsia="pl-PL"/>
      </w:rPr>
      <w:pict w14:anchorId="0B6B24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16277" o:spid="_x0000_s1033" type="#_x0000_t75" style="position:absolute;margin-left:-70.95pt;margin-top:-77.75pt;width:595.2pt;height:841.9pt;z-index:-251657729;mso-position-horizontal-relative:margin;mso-position-vertical-relative:margin" o:allowincell="f">
          <v:imagedata r:id="rId1" o:title="PMG_papier firmowy a4_20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40EB" w14:textId="77777777" w:rsidR="00C9428A" w:rsidRDefault="00000000">
    <w:pPr>
      <w:pStyle w:val="Nagwek"/>
    </w:pPr>
    <w:r>
      <w:rPr>
        <w:noProof/>
        <w:lang w:eastAsia="pl-PL"/>
      </w:rPr>
      <w:pict w14:anchorId="2863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16275" o:spid="_x0000_s1031" type="#_x0000_t75" style="position:absolute;margin-left:0;margin-top:0;width:595.2pt;height:841.9pt;z-index:-251658240;mso-position-horizontal:center;mso-position-horizontal-relative:margin;mso-position-vertical:center;mso-position-vertical-relative:margin" o:allowincell="f">
          <v:imagedata r:id="rId1" o:title="PMG_papier firmowy a4_20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6D5"/>
    <w:multiLevelType w:val="hybridMultilevel"/>
    <w:tmpl w:val="1D34C7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155A29"/>
    <w:multiLevelType w:val="hybridMultilevel"/>
    <w:tmpl w:val="49B87D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C260D8"/>
    <w:multiLevelType w:val="hybridMultilevel"/>
    <w:tmpl w:val="814E2DCA"/>
    <w:lvl w:ilvl="0" w:tplc="04150011">
      <w:start w:val="1"/>
      <w:numFmt w:val="decimal"/>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7554EB"/>
    <w:multiLevelType w:val="hybridMultilevel"/>
    <w:tmpl w:val="7C7C02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E457AFA"/>
    <w:multiLevelType w:val="hybridMultilevel"/>
    <w:tmpl w:val="2FE6F12C"/>
    <w:lvl w:ilvl="0" w:tplc="630E82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D4787"/>
    <w:multiLevelType w:val="hybridMultilevel"/>
    <w:tmpl w:val="086431DC"/>
    <w:lvl w:ilvl="0" w:tplc="0706C6B8">
      <w:start w:val="1"/>
      <w:numFmt w:val="bullet"/>
      <w:lvlText w:val="-"/>
      <w:lvlJc w:val="left"/>
      <w:pPr>
        <w:ind w:left="1140" w:hanging="360"/>
      </w:pPr>
      <w:rPr>
        <w:rFonts w:ascii="Courier New" w:hAnsi="Courier New"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22345DF0"/>
    <w:multiLevelType w:val="hybridMultilevel"/>
    <w:tmpl w:val="5ED6D6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A930135"/>
    <w:multiLevelType w:val="hybridMultilevel"/>
    <w:tmpl w:val="0B2A95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E15E8F"/>
    <w:multiLevelType w:val="hybridMultilevel"/>
    <w:tmpl w:val="E1F27D82"/>
    <w:lvl w:ilvl="0" w:tplc="0706C6B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D07426"/>
    <w:multiLevelType w:val="multilevel"/>
    <w:tmpl w:val="4EDEF7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BAE28F0"/>
    <w:multiLevelType w:val="hybridMultilevel"/>
    <w:tmpl w:val="424A7B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E1F33"/>
    <w:multiLevelType w:val="multilevel"/>
    <w:tmpl w:val="5B9E2BC0"/>
    <w:lvl w:ilvl="0">
      <w:start w:val="1"/>
      <w:numFmt w:val="decimal"/>
      <w:lvlText w:val="%1)"/>
      <w:lvlJc w:val="left"/>
      <w:pPr>
        <w:ind w:left="1080" w:hanging="360"/>
      </w:pPr>
      <w:rPr>
        <w:b w:val="0"/>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607B13E9"/>
    <w:multiLevelType w:val="hybridMultilevel"/>
    <w:tmpl w:val="72EE6F18"/>
    <w:lvl w:ilvl="0" w:tplc="48902AF8">
      <w:start w:val="1"/>
      <w:numFmt w:val="decimal"/>
      <w:lvlText w:val="%1."/>
      <w:lvlJc w:val="left"/>
      <w:pPr>
        <w:ind w:left="420" w:hanging="42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3916BB1"/>
    <w:multiLevelType w:val="hybridMultilevel"/>
    <w:tmpl w:val="4C884BD6"/>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005350"/>
    <w:multiLevelType w:val="multilevel"/>
    <w:tmpl w:val="B21A45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5EC2330"/>
    <w:multiLevelType w:val="hybridMultilevel"/>
    <w:tmpl w:val="62D01FF0"/>
    <w:lvl w:ilvl="0" w:tplc="0706C6B8">
      <w:start w:val="1"/>
      <w:numFmt w:val="bullet"/>
      <w:lvlText w:val="-"/>
      <w:lvlJc w:val="left"/>
      <w:pPr>
        <w:ind w:left="768" w:hanging="360"/>
      </w:pPr>
      <w:rPr>
        <w:rFonts w:ascii="Courier New" w:hAnsi="Courier New"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6" w15:restartNumberingAfterBreak="0">
    <w:nsid w:val="780E7738"/>
    <w:multiLevelType w:val="hybridMultilevel"/>
    <w:tmpl w:val="C374E9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ACF2A1F"/>
    <w:multiLevelType w:val="multilevel"/>
    <w:tmpl w:val="363AA888"/>
    <w:styleLink w:val="WWNum3"/>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1.%2.%3."/>
      <w:lvlJc w:val="right"/>
      <w:pPr>
        <w:ind w:left="1800" w:hanging="360"/>
      </w:pPr>
      <w:rPr>
        <w:u w:val="none"/>
      </w:rPr>
    </w:lvl>
    <w:lvl w:ilvl="3">
      <w:start w:val="1"/>
      <w:numFmt w:val="decimal"/>
      <w:lvlText w:val="%1.%2.%3.%4."/>
      <w:lvlJc w:val="left"/>
      <w:pPr>
        <w:ind w:left="2520" w:hanging="360"/>
      </w:pPr>
      <w:rPr>
        <w:u w:val="none"/>
      </w:rPr>
    </w:lvl>
    <w:lvl w:ilvl="4">
      <w:start w:val="1"/>
      <w:numFmt w:val="lowerLetter"/>
      <w:lvlText w:val="%1.%2.%3.%4.%5."/>
      <w:lvlJc w:val="left"/>
      <w:pPr>
        <w:ind w:left="3240" w:hanging="360"/>
      </w:pPr>
      <w:rPr>
        <w:u w:val="none"/>
      </w:rPr>
    </w:lvl>
    <w:lvl w:ilvl="5">
      <w:start w:val="1"/>
      <w:numFmt w:val="lowerRoman"/>
      <w:lvlText w:val="%1.%2.%3.%4.%5.%6."/>
      <w:lvlJc w:val="right"/>
      <w:pPr>
        <w:ind w:left="3960" w:hanging="360"/>
      </w:pPr>
      <w:rPr>
        <w:u w:val="none"/>
      </w:rPr>
    </w:lvl>
    <w:lvl w:ilvl="6">
      <w:start w:val="1"/>
      <w:numFmt w:val="decimal"/>
      <w:lvlText w:val="%1.%2.%3.%4.%5.%6.%7."/>
      <w:lvlJc w:val="left"/>
      <w:pPr>
        <w:ind w:left="4680" w:hanging="360"/>
      </w:pPr>
      <w:rPr>
        <w:u w:val="none"/>
      </w:rPr>
    </w:lvl>
    <w:lvl w:ilvl="7">
      <w:start w:val="1"/>
      <w:numFmt w:val="lowerLetter"/>
      <w:lvlText w:val="%1.%2.%3.%4.%5.%6.%7.%8."/>
      <w:lvlJc w:val="left"/>
      <w:pPr>
        <w:ind w:left="5400" w:hanging="360"/>
      </w:pPr>
      <w:rPr>
        <w:u w:val="none"/>
      </w:rPr>
    </w:lvl>
    <w:lvl w:ilvl="8">
      <w:start w:val="1"/>
      <w:numFmt w:val="lowerRoman"/>
      <w:lvlText w:val="%1.%2.%3.%4.%5.%6.%7.%8.%9."/>
      <w:lvlJc w:val="right"/>
      <w:pPr>
        <w:ind w:left="6120" w:hanging="360"/>
      </w:pPr>
      <w:rPr>
        <w:u w:val="none"/>
      </w:rPr>
    </w:lvl>
  </w:abstractNum>
  <w:num w:numId="1" w16cid:durableId="83456476">
    <w:abstractNumId w:val="4"/>
  </w:num>
  <w:num w:numId="2" w16cid:durableId="2043288864">
    <w:abstractNumId w:val="2"/>
  </w:num>
  <w:num w:numId="3" w16cid:durableId="1455097484">
    <w:abstractNumId w:val="15"/>
  </w:num>
  <w:num w:numId="4" w16cid:durableId="1704596520">
    <w:abstractNumId w:val="6"/>
  </w:num>
  <w:num w:numId="5" w16cid:durableId="100028436">
    <w:abstractNumId w:val="10"/>
  </w:num>
  <w:num w:numId="6" w16cid:durableId="458959262">
    <w:abstractNumId w:val="1"/>
  </w:num>
  <w:num w:numId="7" w16cid:durableId="684358117">
    <w:abstractNumId w:val="16"/>
  </w:num>
  <w:num w:numId="8" w16cid:durableId="1734888186">
    <w:abstractNumId w:val="3"/>
  </w:num>
  <w:num w:numId="9" w16cid:durableId="1046445886">
    <w:abstractNumId w:val="7"/>
  </w:num>
  <w:num w:numId="10" w16cid:durableId="1866599409">
    <w:abstractNumId w:val="0"/>
  </w:num>
  <w:num w:numId="11" w16cid:durableId="66921934">
    <w:abstractNumId w:val="14"/>
  </w:num>
  <w:num w:numId="12" w16cid:durableId="2046520313">
    <w:abstractNumId w:val="9"/>
  </w:num>
  <w:num w:numId="13" w16cid:durableId="304286971">
    <w:abstractNumId w:val="11"/>
  </w:num>
  <w:num w:numId="14" w16cid:durableId="841626372">
    <w:abstractNumId w:val="17"/>
  </w:num>
  <w:num w:numId="15" w16cid:durableId="1063791032">
    <w:abstractNumId w:val="17"/>
    <w:lvlOverride w:ilvl="0">
      <w:startOverride w:val="1"/>
    </w:lvlOverride>
  </w:num>
  <w:num w:numId="16" w16cid:durableId="1484002767">
    <w:abstractNumId w:val="12"/>
  </w:num>
  <w:num w:numId="17" w16cid:durableId="1020815266">
    <w:abstractNumId w:val="13"/>
  </w:num>
  <w:num w:numId="18" w16cid:durableId="1149247946">
    <w:abstractNumId w:val="5"/>
  </w:num>
  <w:num w:numId="19" w16cid:durableId="11378423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A3"/>
    <w:rsid w:val="00001CF3"/>
    <w:rsid w:val="00004A66"/>
    <w:rsid w:val="000069D6"/>
    <w:rsid w:val="00015A7B"/>
    <w:rsid w:val="00033849"/>
    <w:rsid w:val="000505D5"/>
    <w:rsid w:val="00053CB4"/>
    <w:rsid w:val="000646C6"/>
    <w:rsid w:val="000814D0"/>
    <w:rsid w:val="000B4B0E"/>
    <w:rsid w:val="000C248B"/>
    <w:rsid w:val="000C5058"/>
    <w:rsid w:val="000C66A2"/>
    <w:rsid w:val="000D2EC2"/>
    <w:rsid w:val="00121E10"/>
    <w:rsid w:val="00131C92"/>
    <w:rsid w:val="00133CC1"/>
    <w:rsid w:val="00134F22"/>
    <w:rsid w:val="00147E32"/>
    <w:rsid w:val="001617D1"/>
    <w:rsid w:val="00180CAC"/>
    <w:rsid w:val="00182969"/>
    <w:rsid w:val="00197413"/>
    <w:rsid w:val="001A6A62"/>
    <w:rsid w:val="001B04DE"/>
    <w:rsid w:val="001B6C80"/>
    <w:rsid w:val="001B7A7F"/>
    <w:rsid w:val="001E5F93"/>
    <w:rsid w:val="001E6D56"/>
    <w:rsid w:val="002048FC"/>
    <w:rsid w:val="002117B8"/>
    <w:rsid w:val="0023134E"/>
    <w:rsid w:val="0024410D"/>
    <w:rsid w:val="00247A85"/>
    <w:rsid w:val="002502CA"/>
    <w:rsid w:val="0028058B"/>
    <w:rsid w:val="00282C72"/>
    <w:rsid w:val="00293573"/>
    <w:rsid w:val="002B422C"/>
    <w:rsid w:val="002C02C8"/>
    <w:rsid w:val="002C31F5"/>
    <w:rsid w:val="002D2088"/>
    <w:rsid w:val="002F74EE"/>
    <w:rsid w:val="0031592A"/>
    <w:rsid w:val="00345969"/>
    <w:rsid w:val="003633F0"/>
    <w:rsid w:val="00363AE8"/>
    <w:rsid w:val="00371DEA"/>
    <w:rsid w:val="003A40D3"/>
    <w:rsid w:val="003C573A"/>
    <w:rsid w:val="003D61AF"/>
    <w:rsid w:val="003D7C80"/>
    <w:rsid w:val="00424F7E"/>
    <w:rsid w:val="00431C5B"/>
    <w:rsid w:val="00437B0B"/>
    <w:rsid w:val="004479A9"/>
    <w:rsid w:val="00485E9C"/>
    <w:rsid w:val="00494C30"/>
    <w:rsid w:val="004B0589"/>
    <w:rsid w:val="004E475E"/>
    <w:rsid w:val="004E677C"/>
    <w:rsid w:val="004F1B59"/>
    <w:rsid w:val="00506DAD"/>
    <w:rsid w:val="00524346"/>
    <w:rsid w:val="005243C2"/>
    <w:rsid w:val="005243CB"/>
    <w:rsid w:val="00524732"/>
    <w:rsid w:val="00524A6B"/>
    <w:rsid w:val="00537F11"/>
    <w:rsid w:val="005476AE"/>
    <w:rsid w:val="005528A5"/>
    <w:rsid w:val="0055780E"/>
    <w:rsid w:val="005B67A3"/>
    <w:rsid w:val="006026EC"/>
    <w:rsid w:val="006050C1"/>
    <w:rsid w:val="006054E0"/>
    <w:rsid w:val="006060BB"/>
    <w:rsid w:val="00610D90"/>
    <w:rsid w:val="006161A9"/>
    <w:rsid w:val="0062095B"/>
    <w:rsid w:val="00626D33"/>
    <w:rsid w:val="00644BA7"/>
    <w:rsid w:val="006513FA"/>
    <w:rsid w:val="00655B54"/>
    <w:rsid w:val="00656476"/>
    <w:rsid w:val="00676090"/>
    <w:rsid w:val="00690A31"/>
    <w:rsid w:val="00693CB4"/>
    <w:rsid w:val="006D1D78"/>
    <w:rsid w:val="006D7B10"/>
    <w:rsid w:val="006E4637"/>
    <w:rsid w:val="006E53E1"/>
    <w:rsid w:val="006F0147"/>
    <w:rsid w:val="00704BAC"/>
    <w:rsid w:val="007222C2"/>
    <w:rsid w:val="007268E8"/>
    <w:rsid w:val="0073341F"/>
    <w:rsid w:val="00737AD2"/>
    <w:rsid w:val="00742C0C"/>
    <w:rsid w:val="00746DBE"/>
    <w:rsid w:val="007535DE"/>
    <w:rsid w:val="00756609"/>
    <w:rsid w:val="00760D15"/>
    <w:rsid w:val="00762E22"/>
    <w:rsid w:val="007651AB"/>
    <w:rsid w:val="00771DED"/>
    <w:rsid w:val="007814CC"/>
    <w:rsid w:val="0078631E"/>
    <w:rsid w:val="00793440"/>
    <w:rsid w:val="00796CEE"/>
    <w:rsid w:val="007E1700"/>
    <w:rsid w:val="007F069F"/>
    <w:rsid w:val="007F7AC1"/>
    <w:rsid w:val="008151EE"/>
    <w:rsid w:val="00822853"/>
    <w:rsid w:val="00834DA3"/>
    <w:rsid w:val="00841E63"/>
    <w:rsid w:val="00853EB6"/>
    <w:rsid w:val="00857395"/>
    <w:rsid w:val="00861C3B"/>
    <w:rsid w:val="00873488"/>
    <w:rsid w:val="008955CF"/>
    <w:rsid w:val="008B1DE2"/>
    <w:rsid w:val="008C15C5"/>
    <w:rsid w:val="008C5969"/>
    <w:rsid w:val="008C7394"/>
    <w:rsid w:val="008D04DA"/>
    <w:rsid w:val="008D25B1"/>
    <w:rsid w:val="008D50ED"/>
    <w:rsid w:val="008E463C"/>
    <w:rsid w:val="008E6DC4"/>
    <w:rsid w:val="008E72D2"/>
    <w:rsid w:val="008F3FE3"/>
    <w:rsid w:val="008F5B43"/>
    <w:rsid w:val="00901855"/>
    <w:rsid w:val="00904100"/>
    <w:rsid w:val="009062CA"/>
    <w:rsid w:val="00926F40"/>
    <w:rsid w:val="00932F5D"/>
    <w:rsid w:val="0094071C"/>
    <w:rsid w:val="00952EF5"/>
    <w:rsid w:val="00956B97"/>
    <w:rsid w:val="009668F7"/>
    <w:rsid w:val="00970E1C"/>
    <w:rsid w:val="00972DA7"/>
    <w:rsid w:val="0099503D"/>
    <w:rsid w:val="009A0145"/>
    <w:rsid w:val="009B1DA4"/>
    <w:rsid w:val="009B1E37"/>
    <w:rsid w:val="009B4E2A"/>
    <w:rsid w:val="009B4F3E"/>
    <w:rsid w:val="009C0C2D"/>
    <w:rsid w:val="009C7D34"/>
    <w:rsid w:val="009D56E0"/>
    <w:rsid w:val="009F00B2"/>
    <w:rsid w:val="00A0565B"/>
    <w:rsid w:val="00A1063A"/>
    <w:rsid w:val="00A11449"/>
    <w:rsid w:val="00A24A3B"/>
    <w:rsid w:val="00A26CCE"/>
    <w:rsid w:val="00A371E7"/>
    <w:rsid w:val="00A4444D"/>
    <w:rsid w:val="00A669F4"/>
    <w:rsid w:val="00A770B7"/>
    <w:rsid w:val="00A8782C"/>
    <w:rsid w:val="00AB05DD"/>
    <w:rsid w:val="00AB0AE5"/>
    <w:rsid w:val="00AC2DBA"/>
    <w:rsid w:val="00AC38BB"/>
    <w:rsid w:val="00AC6326"/>
    <w:rsid w:val="00AC6512"/>
    <w:rsid w:val="00AD090F"/>
    <w:rsid w:val="00AD19FE"/>
    <w:rsid w:val="00AD67CA"/>
    <w:rsid w:val="00AE7BAB"/>
    <w:rsid w:val="00B06D4D"/>
    <w:rsid w:val="00B15AE5"/>
    <w:rsid w:val="00B22387"/>
    <w:rsid w:val="00B256B7"/>
    <w:rsid w:val="00B47B17"/>
    <w:rsid w:val="00B51666"/>
    <w:rsid w:val="00B611A7"/>
    <w:rsid w:val="00B6339F"/>
    <w:rsid w:val="00B66D20"/>
    <w:rsid w:val="00B71EFC"/>
    <w:rsid w:val="00B754F2"/>
    <w:rsid w:val="00B76413"/>
    <w:rsid w:val="00B773D4"/>
    <w:rsid w:val="00B97BCA"/>
    <w:rsid w:val="00BB28F1"/>
    <w:rsid w:val="00BB6A41"/>
    <w:rsid w:val="00BD77EA"/>
    <w:rsid w:val="00BF22C9"/>
    <w:rsid w:val="00BF3AF1"/>
    <w:rsid w:val="00BF4F97"/>
    <w:rsid w:val="00C00C4B"/>
    <w:rsid w:val="00C0551C"/>
    <w:rsid w:val="00C22147"/>
    <w:rsid w:val="00C25931"/>
    <w:rsid w:val="00C34AD0"/>
    <w:rsid w:val="00C535F5"/>
    <w:rsid w:val="00C54105"/>
    <w:rsid w:val="00C60863"/>
    <w:rsid w:val="00C87222"/>
    <w:rsid w:val="00C9428A"/>
    <w:rsid w:val="00C95E55"/>
    <w:rsid w:val="00CC0227"/>
    <w:rsid w:val="00CE0C62"/>
    <w:rsid w:val="00D06AD7"/>
    <w:rsid w:val="00D07062"/>
    <w:rsid w:val="00D151A5"/>
    <w:rsid w:val="00D472FE"/>
    <w:rsid w:val="00D51E7E"/>
    <w:rsid w:val="00D5346E"/>
    <w:rsid w:val="00D54F86"/>
    <w:rsid w:val="00D5610A"/>
    <w:rsid w:val="00D65D0D"/>
    <w:rsid w:val="00D80821"/>
    <w:rsid w:val="00D81225"/>
    <w:rsid w:val="00D834B4"/>
    <w:rsid w:val="00D92F7D"/>
    <w:rsid w:val="00DB0E4C"/>
    <w:rsid w:val="00DB6D69"/>
    <w:rsid w:val="00DF05DC"/>
    <w:rsid w:val="00E10292"/>
    <w:rsid w:val="00E11F0F"/>
    <w:rsid w:val="00E24234"/>
    <w:rsid w:val="00E27381"/>
    <w:rsid w:val="00E316C0"/>
    <w:rsid w:val="00E43D4E"/>
    <w:rsid w:val="00E44F30"/>
    <w:rsid w:val="00E462FD"/>
    <w:rsid w:val="00E5475B"/>
    <w:rsid w:val="00EB216B"/>
    <w:rsid w:val="00EC2768"/>
    <w:rsid w:val="00EC3D4A"/>
    <w:rsid w:val="00ED28B9"/>
    <w:rsid w:val="00ED2C3E"/>
    <w:rsid w:val="00EF2238"/>
    <w:rsid w:val="00EF3A78"/>
    <w:rsid w:val="00F23664"/>
    <w:rsid w:val="00F27606"/>
    <w:rsid w:val="00F31805"/>
    <w:rsid w:val="00F32665"/>
    <w:rsid w:val="00F428BE"/>
    <w:rsid w:val="00F55DB6"/>
    <w:rsid w:val="00F67E46"/>
    <w:rsid w:val="00F74982"/>
    <w:rsid w:val="00F81548"/>
    <w:rsid w:val="00F847E4"/>
    <w:rsid w:val="00F920AD"/>
    <w:rsid w:val="00F920E2"/>
    <w:rsid w:val="00F978D8"/>
    <w:rsid w:val="00FB5826"/>
    <w:rsid w:val="00FB684D"/>
    <w:rsid w:val="00FB75A4"/>
    <w:rsid w:val="00FD41AA"/>
    <w:rsid w:val="00FD4CBF"/>
    <w:rsid w:val="00FD7E07"/>
    <w:rsid w:val="00FF3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CDF2B"/>
  <w15:docId w15:val="{27B0513A-9614-43E7-A79A-503A1A7A6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3664"/>
  </w:style>
  <w:style w:type="paragraph" w:styleId="Nagwek1">
    <w:name w:val="heading 1"/>
    <w:basedOn w:val="Normalny"/>
    <w:next w:val="Normalny"/>
    <w:link w:val="Nagwek1Znak"/>
    <w:uiPriority w:val="9"/>
    <w:qFormat/>
    <w:rsid w:val="00822853"/>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paragraph" w:styleId="Nagwek2">
    <w:name w:val="heading 2"/>
    <w:basedOn w:val="Normalny"/>
    <w:link w:val="Nagwek2Znak"/>
    <w:uiPriority w:val="9"/>
    <w:qFormat/>
    <w:rsid w:val="00822853"/>
    <w:pPr>
      <w:spacing w:before="100" w:beforeAutospacing="1" w:after="100" w:afterAutospacing="1" w:line="240" w:lineRule="auto"/>
      <w:outlineLvl w:val="1"/>
    </w:pPr>
    <w:rPr>
      <w:rFonts w:ascii="Calibri" w:eastAsia="Times New Roman" w:hAnsi="Calibri"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942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428A"/>
    <w:rPr>
      <w:rFonts w:ascii="Tahoma" w:hAnsi="Tahoma" w:cs="Tahoma"/>
      <w:sz w:val="16"/>
      <w:szCs w:val="16"/>
    </w:rPr>
  </w:style>
  <w:style w:type="paragraph" w:styleId="Nagwek">
    <w:name w:val="header"/>
    <w:basedOn w:val="Normalny"/>
    <w:link w:val="NagwekZnak"/>
    <w:uiPriority w:val="99"/>
    <w:unhideWhenUsed/>
    <w:rsid w:val="00C942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28A"/>
  </w:style>
  <w:style w:type="paragraph" w:styleId="Stopka">
    <w:name w:val="footer"/>
    <w:basedOn w:val="Normalny"/>
    <w:link w:val="StopkaZnak"/>
    <w:uiPriority w:val="99"/>
    <w:unhideWhenUsed/>
    <w:rsid w:val="00C942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428A"/>
  </w:style>
  <w:style w:type="paragraph" w:styleId="Akapitzlist">
    <w:name w:val="List Paragraph"/>
    <w:basedOn w:val="Normalny"/>
    <w:uiPriority w:val="34"/>
    <w:qFormat/>
    <w:rsid w:val="00524732"/>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Standard">
    <w:name w:val="Standard"/>
    <w:rsid w:val="00F847E4"/>
    <w:pPr>
      <w:suppressAutoHyphens/>
      <w:autoSpaceDN w:val="0"/>
      <w:spacing w:after="0"/>
      <w:textAlignment w:val="baseline"/>
    </w:pPr>
    <w:rPr>
      <w:rFonts w:ascii="Arial" w:eastAsia="Arial" w:hAnsi="Arial" w:cs="Arial"/>
      <w:kern w:val="3"/>
      <w:lang w:eastAsia="pl-PL"/>
    </w:rPr>
  </w:style>
  <w:style w:type="numbering" w:customStyle="1" w:styleId="WWNum3">
    <w:name w:val="WWNum3"/>
    <w:basedOn w:val="Bezlisty"/>
    <w:rsid w:val="00DF05DC"/>
    <w:pPr>
      <w:numPr>
        <w:numId w:val="14"/>
      </w:numPr>
    </w:pPr>
  </w:style>
  <w:style w:type="character" w:styleId="Odwoaniedokomentarza">
    <w:name w:val="annotation reference"/>
    <w:basedOn w:val="Domylnaczcionkaakapitu"/>
    <w:uiPriority w:val="99"/>
    <w:semiHidden/>
    <w:unhideWhenUsed/>
    <w:rsid w:val="00B66D20"/>
    <w:rPr>
      <w:sz w:val="16"/>
      <w:szCs w:val="16"/>
    </w:rPr>
  </w:style>
  <w:style w:type="paragraph" w:styleId="Tekstkomentarza">
    <w:name w:val="annotation text"/>
    <w:basedOn w:val="Normalny"/>
    <w:link w:val="TekstkomentarzaZnak"/>
    <w:uiPriority w:val="99"/>
    <w:unhideWhenUsed/>
    <w:rsid w:val="00B66D20"/>
    <w:pPr>
      <w:spacing w:line="240" w:lineRule="auto"/>
    </w:pPr>
    <w:rPr>
      <w:sz w:val="20"/>
      <w:szCs w:val="20"/>
    </w:rPr>
  </w:style>
  <w:style w:type="character" w:customStyle="1" w:styleId="TekstkomentarzaZnak">
    <w:name w:val="Tekst komentarza Znak"/>
    <w:basedOn w:val="Domylnaczcionkaakapitu"/>
    <w:link w:val="Tekstkomentarza"/>
    <w:uiPriority w:val="99"/>
    <w:rsid w:val="00B66D20"/>
    <w:rPr>
      <w:sz w:val="20"/>
      <w:szCs w:val="20"/>
    </w:rPr>
  </w:style>
  <w:style w:type="paragraph" w:styleId="Tematkomentarza">
    <w:name w:val="annotation subject"/>
    <w:basedOn w:val="Tekstkomentarza"/>
    <w:next w:val="Tekstkomentarza"/>
    <w:link w:val="TematkomentarzaZnak"/>
    <w:uiPriority w:val="99"/>
    <w:semiHidden/>
    <w:unhideWhenUsed/>
    <w:rsid w:val="00B66D20"/>
    <w:rPr>
      <w:b/>
      <w:bCs/>
    </w:rPr>
  </w:style>
  <w:style w:type="character" w:customStyle="1" w:styleId="TematkomentarzaZnak">
    <w:name w:val="Temat komentarza Znak"/>
    <w:basedOn w:val="TekstkomentarzaZnak"/>
    <w:link w:val="Tematkomentarza"/>
    <w:uiPriority w:val="99"/>
    <w:semiHidden/>
    <w:rsid w:val="00B66D20"/>
    <w:rPr>
      <w:b/>
      <w:bCs/>
      <w:sz w:val="20"/>
      <w:szCs w:val="20"/>
    </w:rPr>
  </w:style>
  <w:style w:type="paragraph" w:styleId="Bezodstpw">
    <w:name w:val="No Spacing"/>
    <w:uiPriority w:val="1"/>
    <w:qFormat/>
    <w:rsid w:val="00A1063A"/>
    <w:pPr>
      <w:spacing w:after="0" w:line="240" w:lineRule="auto"/>
    </w:pPr>
  </w:style>
  <w:style w:type="character" w:styleId="Hipercze">
    <w:name w:val="Hyperlink"/>
    <w:uiPriority w:val="99"/>
    <w:rsid w:val="00A1063A"/>
    <w:rPr>
      <w:color w:val="0000FF"/>
      <w:u w:val="single"/>
    </w:rPr>
  </w:style>
  <w:style w:type="paragraph" w:styleId="NormalnyWeb">
    <w:name w:val="Normal (Web)"/>
    <w:basedOn w:val="Normalny"/>
    <w:uiPriority w:val="99"/>
    <w:unhideWhenUsed/>
    <w:rsid w:val="009B1D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93573"/>
    <w:rPr>
      <w:b/>
      <w:bCs/>
    </w:rPr>
  </w:style>
  <w:style w:type="paragraph" w:styleId="Poprawka">
    <w:name w:val="Revision"/>
    <w:hidden/>
    <w:uiPriority w:val="99"/>
    <w:semiHidden/>
    <w:rsid w:val="00C535F5"/>
    <w:pPr>
      <w:spacing w:after="0" w:line="240" w:lineRule="auto"/>
    </w:pPr>
  </w:style>
  <w:style w:type="character" w:customStyle="1" w:styleId="Nagwek1Znak">
    <w:name w:val="Nagłówek 1 Znak"/>
    <w:basedOn w:val="Domylnaczcionkaakapitu"/>
    <w:link w:val="Nagwek1"/>
    <w:uiPriority w:val="9"/>
    <w:rsid w:val="00822853"/>
    <w:rPr>
      <w:rFonts w:asciiTheme="majorHAnsi" w:eastAsiaTheme="majorEastAsia" w:hAnsiTheme="majorHAnsi" w:cstheme="majorBidi"/>
      <w:color w:val="365F91" w:themeColor="accent1" w:themeShade="BF"/>
      <w:sz w:val="32"/>
      <w:szCs w:val="32"/>
      <w:lang w:eastAsia="pl-PL"/>
    </w:rPr>
  </w:style>
  <w:style w:type="character" w:customStyle="1" w:styleId="Nagwek2Znak">
    <w:name w:val="Nagłówek 2 Znak"/>
    <w:basedOn w:val="Domylnaczcionkaakapitu"/>
    <w:link w:val="Nagwek2"/>
    <w:uiPriority w:val="9"/>
    <w:rsid w:val="00822853"/>
    <w:rPr>
      <w:rFonts w:ascii="Calibri" w:eastAsia="Times New Roman" w:hAnsi="Calibri" w:cs="Times New Roman"/>
      <w:bCs/>
      <w:color w:val="0070C0"/>
      <w:sz w:val="24"/>
      <w:szCs w:val="36"/>
      <w:lang w:eastAsia="pl-PL"/>
    </w:rPr>
  </w:style>
  <w:style w:type="character" w:styleId="Nierozpoznanawzmianka">
    <w:name w:val="Unresolved Mention"/>
    <w:basedOn w:val="Domylnaczcionkaakapitu"/>
    <w:uiPriority w:val="99"/>
    <w:semiHidden/>
    <w:unhideWhenUsed/>
    <w:rsid w:val="001617D1"/>
    <w:rPr>
      <w:color w:val="605E5C"/>
      <w:shd w:val="clear" w:color="auto" w:fill="E1DFDD"/>
    </w:rPr>
  </w:style>
  <w:style w:type="character" w:styleId="UyteHipercze">
    <w:name w:val="FollowedHyperlink"/>
    <w:basedOn w:val="Domylnaczcionkaakapitu"/>
    <w:uiPriority w:val="99"/>
    <w:semiHidden/>
    <w:unhideWhenUsed/>
    <w:rsid w:val="00EB21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92C748C0C4B2846B6EFA208065CFDBA" ma:contentTypeVersion="18" ma:contentTypeDescription="Utwórz nowy dokument." ma:contentTypeScope="" ma:versionID="7911c843a341992974ebccd2d616914e">
  <xsd:schema xmlns:xsd="http://www.w3.org/2001/XMLSchema" xmlns:xs="http://www.w3.org/2001/XMLSchema" xmlns:p="http://schemas.microsoft.com/office/2006/metadata/properties" xmlns:ns2="878b67f9-1558-4553-b001-d828f0cd002a" xmlns:ns3="9a7b7b5c-181d-4111-b521-9f1f02814f3d" targetNamespace="http://schemas.microsoft.com/office/2006/metadata/properties" ma:root="true" ma:fieldsID="6b50a984ca9bda5769be707d0c167205" ns2:_="" ns3:_="">
    <xsd:import namespace="878b67f9-1558-4553-b001-d828f0cd002a"/>
    <xsd:import namespace="9a7b7b5c-181d-4111-b521-9f1f02814f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Komentarz" minOccurs="0"/>
                <xsd:element ref="ns3:MediaLengthInSeconds" minOccurs="0"/>
                <xsd:element ref="ns3:_Flow_SignoffStatu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b67f9-1558-4553-b001-d828f0cd002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5" nillable="true" ma:displayName="Taxonomy Catch All Column" ma:hidden="true" ma:list="{6a3835bd-ea38-43f2-939d-614048ec9ae5}" ma:internalName="TaxCatchAll" ma:showField="CatchAllData" ma:web="878b67f9-1558-4553-b001-d828f0cd00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7b7b5c-181d-4111-b521-9f1f02814f3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Komentarz" ma:index="20" nillable="true" ma:displayName="Komentarz" ma:format="Dropdown" ma:internalName="Komentarz">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a73927b0-a0c5-4e3f-82d9-33c7b4e37b6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arz xmlns="9a7b7b5c-181d-4111-b521-9f1f02814f3d" xsi:nil="true"/>
    <_Flow_SignoffStatus xmlns="9a7b7b5c-181d-4111-b521-9f1f02814f3d" xsi:nil="true"/>
    <lcf76f155ced4ddcb4097134ff3c332f xmlns="9a7b7b5c-181d-4111-b521-9f1f02814f3d">
      <Terms xmlns="http://schemas.microsoft.com/office/infopath/2007/PartnerControls"/>
    </lcf76f155ced4ddcb4097134ff3c332f>
    <TaxCatchAll xmlns="878b67f9-1558-4553-b001-d828f0cd002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FAAEE-BA54-4566-9640-8B80E789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b67f9-1558-4553-b001-d828f0cd002a"/>
    <ds:schemaRef ds:uri="9a7b7b5c-181d-4111-b521-9f1f02814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2EAA9B-2DA4-4CFE-AB8A-38C76EA7197B}">
  <ds:schemaRefs>
    <ds:schemaRef ds:uri="http://schemas.openxmlformats.org/officeDocument/2006/bibliography"/>
  </ds:schemaRefs>
</ds:datastoreItem>
</file>

<file path=customXml/itemProps3.xml><?xml version="1.0" encoding="utf-8"?>
<ds:datastoreItem xmlns:ds="http://schemas.openxmlformats.org/officeDocument/2006/customXml" ds:itemID="{6DD8CD6E-5A9E-4538-8A2F-C13A1F6B1EBA}">
  <ds:schemaRefs>
    <ds:schemaRef ds:uri="http://schemas.microsoft.com/office/2006/metadata/properties"/>
    <ds:schemaRef ds:uri="http://schemas.microsoft.com/office/infopath/2007/PartnerControls"/>
    <ds:schemaRef ds:uri="9a7b7b5c-181d-4111-b521-9f1f02814f3d"/>
    <ds:schemaRef ds:uri="878b67f9-1558-4553-b001-d828f0cd002a"/>
  </ds:schemaRefs>
</ds:datastoreItem>
</file>

<file path=customXml/itemProps4.xml><?xml version="1.0" encoding="utf-8"?>
<ds:datastoreItem xmlns:ds="http://schemas.openxmlformats.org/officeDocument/2006/customXml" ds:itemID="{C52A6789-0B18-4028-924C-121A3F7A5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1217</Words>
  <Characters>7305</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Buena Vista</dc:creator>
  <cp:lastModifiedBy>Stępień, Paulina</cp:lastModifiedBy>
  <cp:revision>2</cp:revision>
  <cp:lastPrinted>2022-08-23T08:17:00Z</cp:lastPrinted>
  <dcterms:created xsi:type="dcterms:W3CDTF">2023-08-03T07:45:00Z</dcterms:created>
  <dcterms:modified xsi:type="dcterms:W3CDTF">2023-08-03T07:45:00Z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0x010100B92C748C0C4B2846B6EFA208065CFDBA</vt:lpwstr>
  </property>
  <property fmtid="{D5CDD505-2E9C-101B-9397-08002B2CF9AE}" pid="3" name="MediaServiceImageTags">
    <vt:lpwstr/>
  </property>
</Properties>
</file>